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990F1ED" w:rsidR="00FD53A5" w:rsidRPr="001C5B3B" w:rsidRDefault="00C006BE">
      <w:pPr>
        <w:spacing w:before="720"/>
        <w:jc w:val="center"/>
        <w:rPr>
          <w:rFonts w:ascii="Arial Black" w:eastAsia="Arial Black" w:hAnsi="Arial Black" w:cs="Arial Black"/>
          <w:b/>
          <w:sz w:val="72"/>
          <w:szCs w:val="72"/>
        </w:rPr>
      </w:pPr>
      <w:r w:rsidRPr="001C5B3B">
        <w:rPr>
          <w:rFonts w:ascii="Arial Black" w:eastAsia="Arial Black" w:hAnsi="Arial Black" w:cs="Arial Black"/>
          <w:b/>
          <w:sz w:val="72"/>
          <w:szCs w:val="72"/>
        </w:rPr>
        <w:t xml:space="preserve">4. kvadrant </w:t>
      </w:r>
      <w:r w:rsidRPr="001C5B3B">
        <w:rPr>
          <w:rFonts w:ascii="Arial Black" w:eastAsia="Arial Black" w:hAnsi="Arial Black" w:cs="Arial Black"/>
          <w:b/>
          <w:sz w:val="72"/>
          <w:szCs w:val="72"/>
        </w:rPr>
        <w:br/>
        <w:t>Vítězného náměstí</w:t>
      </w:r>
    </w:p>
    <w:p w14:paraId="00000002" w14:textId="77777777" w:rsidR="00FD53A5" w:rsidRPr="001C5B3B" w:rsidRDefault="00F10C47">
      <w:pPr>
        <w:spacing w:before="960" w:after="960"/>
        <w:jc w:val="center"/>
        <w:rPr>
          <w:rFonts w:ascii="Arial Black" w:eastAsia="Arial Black" w:hAnsi="Arial Black" w:cs="Arial Black"/>
          <w:b/>
          <w:sz w:val="32"/>
          <w:szCs w:val="32"/>
        </w:rPr>
      </w:pPr>
      <w:r w:rsidRPr="001C5B3B">
        <w:rPr>
          <w:rFonts w:ascii="Arial Black" w:eastAsia="Arial Black" w:hAnsi="Arial Black" w:cs="Arial Black"/>
          <w:b/>
          <w:sz w:val="32"/>
          <w:szCs w:val="32"/>
        </w:rPr>
        <w:t>MEZINÁRODNÍ ARCHITEKTONICKÁ SOUTĚŽ</w:t>
      </w:r>
    </w:p>
    <w:p w14:paraId="0F0C188F" w14:textId="078ACE87" w:rsidR="00C36F0B" w:rsidRPr="001C5B3B" w:rsidRDefault="006A03D0" w:rsidP="00C36F0B">
      <w:pPr>
        <w:jc w:val="center"/>
        <w:rPr>
          <w:rFonts w:ascii="Arial Black" w:eastAsia="Arial Black" w:hAnsi="Arial Black" w:cs="Arial Black"/>
          <w:b/>
          <w:sz w:val="56"/>
          <w:szCs w:val="56"/>
        </w:rPr>
      </w:pPr>
      <w:r w:rsidRPr="001C5B3B">
        <w:rPr>
          <w:rFonts w:ascii="Arial Black" w:eastAsia="Arial Black" w:hAnsi="Arial Black" w:cs="Arial Black"/>
          <w:b/>
          <w:sz w:val="56"/>
          <w:szCs w:val="56"/>
        </w:rPr>
        <w:t>Rámcové z</w:t>
      </w:r>
      <w:r w:rsidR="00C006BE" w:rsidRPr="001C5B3B">
        <w:rPr>
          <w:rFonts w:ascii="Arial Black" w:eastAsia="Arial Black" w:hAnsi="Arial Black" w:cs="Arial Black"/>
          <w:b/>
          <w:sz w:val="56"/>
          <w:szCs w:val="56"/>
        </w:rPr>
        <w:t>adání</w:t>
      </w:r>
    </w:p>
    <w:p w14:paraId="7BEE6EF8" w14:textId="188078DE" w:rsidR="00C006BE" w:rsidRPr="001C5B3B" w:rsidRDefault="006A03D0" w:rsidP="007737BF">
      <w:pPr>
        <w:spacing w:before="1200"/>
        <w:jc w:val="center"/>
        <w:rPr>
          <w:rFonts w:eastAsia="Arial Black"/>
          <w:b/>
          <w:bCs/>
          <w:sz w:val="28"/>
          <w:szCs w:val="28"/>
        </w:rPr>
      </w:pPr>
      <w:r w:rsidRPr="001C5B3B">
        <w:rPr>
          <w:rFonts w:eastAsia="Arial Black"/>
          <w:b/>
          <w:bCs/>
          <w:sz w:val="28"/>
          <w:szCs w:val="28"/>
        </w:rPr>
        <w:t xml:space="preserve">rámcové </w:t>
      </w:r>
      <w:r w:rsidR="00C36F0B" w:rsidRPr="001C5B3B">
        <w:rPr>
          <w:rFonts w:eastAsia="Arial Black"/>
          <w:b/>
          <w:bCs/>
          <w:sz w:val="28"/>
          <w:szCs w:val="28"/>
        </w:rPr>
        <w:t xml:space="preserve">zadání </w:t>
      </w:r>
      <w:r w:rsidR="00D91878" w:rsidRPr="001C5B3B">
        <w:rPr>
          <w:rFonts w:eastAsia="Arial Black"/>
          <w:b/>
          <w:bCs/>
          <w:sz w:val="28"/>
          <w:szCs w:val="28"/>
        </w:rPr>
        <w:t xml:space="preserve">po projednání v pracovní </w:t>
      </w:r>
      <w:r w:rsidR="001C5B3B">
        <w:rPr>
          <w:rFonts w:eastAsia="Arial Black"/>
          <w:b/>
          <w:bCs/>
          <w:sz w:val="28"/>
          <w:szCs w:val="28"/>
        </w:rPr>
        <w:t xml:space="preserve">a řídící </w:t>
      </w:r>
      <w:r w:rsidR="00D91878" w:rsidRPr="001C5B3B">
        <w:rPr>
          <w:rFonts w:eastAsia="Arial Black"/>
          <w:b/>
          <w:bCs/>
          <w:sz w:val="28"/>
          <w:szCs w:val="28"/>
        </w:rPr>
        <w:t xml:space="preserve">skupině </w:t>
      </w:r>
      <w:r w:rsidR="0069707C" w:rsidRPr="001C5B3B">
        <w:rPr>
          <w:rFonts w:eastAsia="Arial Black"/>
          <w:b/>
          <w:bCs/>
          <w:sz w:val="28"/>
          <w:szCs w:val="28"/>
        </w:rPr>
        <w:t>9</w:t>
      </w:r>
      <w:r w:rsidR="00D91878" w:rsidRPr="001C5B3B">
        <w:rPr>
          <w:rFonts w:eastAsia="Arial Black"/>
          <w:b/>
          <w:bCs/>
          <w:sz w:val="28"/>
          <w:szCs w:val="28"/>
        </w:rPr>
        <w:t>.</w:t>
      </w:r>
      <w:r w:rsidR="00F10C47" w:rsidRPr="001C5B3B">
        <w:rPr>
          <w:rFonts w:eastAsia="Arial Black"/>
          <w:b/>
          <w:bCs/>
          <w:sz w:val="28"/>
          <w:szCs w:val="28"/>
        </w:rPr>
        <w:t xml:space="preserve"> </w:t>
      </w:r>
      <w:r w:rsidR="00D91878" w:rsidRPr="001C5B3B">
        <w:rPr>
          <w:rFonts w:eastAsia="Arial Black"/>
          <w:b/>
          <w:bCs/>
          <w:sz w:val="28"/>
          <w:szCs w:val="28"/>
        </w:rPr>
        <w:t>6</w:t>
      </w:r>
      <w:r w:rsidR="00F10C47" w:rsidRPr="001C5B3B">
        <w:rPr>
          <w:rFonts w:eastAsia="Arial Black"/>
          <w:b/>
          <w:bCs/>
          <w:sz w:val="28"/>
          <w:szCs w:val="28"/>
        </w:rPr>
        <w:t>. 2022</w:t>
      </w:r>
      <w:r w:rsidR="001A3F69" w:rsidRPr="001C5B3B">
        <w:rPr>
          <w:rFonts w:eastAsia="Arial Black"/>
          <w:b/>
          <w:bCs/>
          <w:sz w:val="28"/>
          <w:szCs w:val="28"/>
        </w:rPr>
        <w:t xml:space="preserve"> </w:t>
      </w:r>
      <w:r w:rsidR="007737BF" w:rsidRPr="001C5B3B">
        <w:rPr>
          <w:rFonts w:eastAsia="Arial Black"/>
          <w:b/>
          <w:bCs/>
          <w:sz w:val="28"/>
          <w:szCs w:val="28"/>
        </w:rPr>
        <w:br/>
      </w:r>
      <w:r w:rsidR="00C006BE" w:rsidRPr="001C5B3B">
        <w:rPr>
          <w:rFonts w:eastAsia="Arial Black"/>
          <w:b/>
          <w:bCs/>
          <w:sz w:val="28"/>
          <w:szCs w:val="28"/>
        </w:rPr>
        <w:t>verze před jazykovou a grafickou úpravou</w:t>
      </w:r>
    </w:p>
    <w:p w14:paraId="00000005" w14:textId="77777777" w:rsidR="00FD53A5" w:rsidRPr="001C5B3B" w:rsidRDefault="00FD53A5">
      <w:pPr>
        <w:spacing w:before="1200"/>
        <w:jc w:val="center"/>
        <w:rPr>
          <w:rFonts w:ascii="Arial Black" w:eastAsia="Arial Black" w:hAnsi="Arial Black" w:cs="Arial Black"/>
          <w:b/>
          <w:sz w:val="28"/>
          <w:szCs w:val="28"/>
        </w:rPr>
      </w:pPr>
    </w:p>
    <w:p w14:paraId="00000007" w14:textId="77777777" w:rsidR="00FD53A5" w:rsidRPr="001C5B3B" w:rsidRDefault="00FD53A5"/>
    <w:p w14:paraId="00000009" w14:textId="77777777" w:rsidR="00FD53A5" w:rsidRPr="001C5B3B" w:rsidRDefault="00FD53A5"/>
    <w:p w14:paraId="0000000A" w14:textId="6E8EF2BF" w:rsidR="00FD53A5" w:rsidRPr="001C5B3B" w:rsidRDefault="00F10C47">
      <w:pPr>
        <w:spacing w:before="0" w:after="0"/>
      </w:pPr>
      <w:r w:rsidRPr="001C5B3B">
        <w:br w:type="page"/>
      </w:r>
    </w:p>
    <w:p w14:paraId="7D036BFD" w14:textId="12AFCBD6" w:rsidR="00A456DA" w:rsidRPr="001C5B3B" w:rsidRDefault="00A456DA">
      <w:pPr>
        <w:spacing w:before="0" w:after="0"/>
      </w:pPr>
      <w:r w:rsidRPr="001C5B3B">
        <w:lastRenderedPageBreak/>
        <w:t>Obsah</w:t>
      </w:r>
    </w:p>
    <w:bookmarkStart w:id="0" w:name="_Toc104908006"/>
    <w:bookmarkStart w:id="1" w:name="_Toc104908115"/>
    <w:p w14:paraId="1D52119A" w14:textId="3E76E84D" w:rsidR="001C5B3B" w:rsidRPr="001C5B3B" w:rsidRDefault="007277A2">
      <w:pPr>
        <w:pStyle w:val="Obsah1"/>
        <w:tabs>
          <w:tab w:val="left" w:pos="440"/>
          <w:tab w:val="right" w:pos="9062"/>
        </w:tabs>
        <w:rPr>
          <w:rFonts w:ascii="Arial" w:eastAsiaTheme="minorEastAsia" w:hAnsi="Arial"/>
          <w:b w:val="0"/>
          <w:bCs w:val="0"/>
          <w:caps w:val="0"/>
          <w:noProof/>
          <w:sz w:val="22"/>
          <w:szCs w:val="22"/>
        </w:rPr>
      </w:pPr>
      <w:r w:rsidRPr="001C5B3B">
        <w:rPr>
          <w:rFonts w:ascii="Arial" w:hAnsi="Arial"/>
          <w:b w:val="0"/>
          <w:bCs w:val="0"/>
          <w:sz w:val="22"/>
          <w:szCs w:val="22"/>
        </w:rPr>
        <w:fldChar w:fldCharType="begin"/>
      </w:r>
      <w:r w:rsidRPr="001C5B3B">
        <w:rPr>
          <w:rFonts w:ascii="Arial" w:hAnsi="Arial"/>
          <w:b w:val="0"/>
          <w:bCs w:val="0"/>
          <w:sz w:val="22"/>
          <w:szCs w:val="22"/>
        </w:rPr>
        <w:instrText xml:space="preserve"> TOC \o "1-2" \h \z \u </w:instrText>
      </w:r>
      <w:r w:rsidRPr="001C5B3B">
        <w:rPr>
          <w:rFonts w:ascii="Arial" w:hAnsi="Arial"/>
          <w:b w:val="0"/>
          <w:bCs w:val="0"/>
          <w:sz w:val="22"/>
          <w:szCs w:val="22"/>
        </w:rPr>
        <w:fldChar w:fldCharType="separate"/>
      </w:r>
      <w:hyperlink w:anchor="_Toc105688713" w:history="1">
        <w:r w:rsidR="001C5B3B" w:rsidRPr="001C5B3B">
          <w:rPr>
            <w:rStyle w:val="Hypertextovodkaz"/>
            <w:rFonts w:ascii="Arial" w:hAnsi="Arial"/>
            <w:noProof/>
            <w:sz w:val="22"/>
            <w:szCs w:val="22"/>
          </w:rPr>
          <w:t>1.</w:t>
        </w:r>
        <w:r w:rsidR="001C5B3B" w:rsidRPr="001C5B3B">
          <w:rPr>
            <w:rFonts w:ascii="Arial" w:eastAsiaTheme="minorEastAsia" w:hAnsi="Arial"/>
            <w:b w:val="0"/>
            <w:bCs w:val="0"/>
            <w:caps w:val="0"/>
            <w:noProof/>
            <w:sz w:val="22"/>
            <w:szCs w:val="22"/>
          </w:rPr>
          <w:tab/>
        </w:r>
        <w:r w:rsidR="001C5B3B" w:rsidRPr="001C5B3B">
          <w:rPr>
            <w:rStyle w:val="Hypertextovodkaz"/>
            <w:rFonts w:ascii="Arial" w:hAnsi="Arial"/>
            <w:noProof/>
            <w:sz w:val="22"/>
            <w:szCs w:val="22"/>
          </w:rPr>
          <w:t>Předmět řešení</w:t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tab/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fldChar w:fldCharType="begin"/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instrText xml:space="preserve"> PAGEREF _Toc105688713 \h </w:instrText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fldChar w:fldCharType="separate"/>
        </w:r>
        <w:r w:rsidR="00AF0725">
          <w:rPr>
            <w:rFonts w:ascii="Arial" w:hAnsi="Arial"/>
            <w:noProof/>
            <w:webHidden/>
            <w:sz w:val="22"/>
            <w:szCs w:val="22"/>
          </w:rPr>
          <w:t>3</w:t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fldChar w:fldCharType="end"/>
        </w:r>
      </w:hyperlink>
    </w:p>
    <w:p w14:paraId="707A06DA" w14:textId="5371CF18" w:rsidR="001C5B3B" w:rsidRPr="001C5B3B" w:rsidRDefault="007C540F">
      <w:pPr>
        <w:pStyle w:val="Obsah1"/>
        <w:tabs>
          <w:tab w:val="left" w:pos="440"/>
          <w:tab w:val="right" w:pos="9062"/>
        </w:tabs>
        <w:rPr>
          <w:rFonts w:ascii="Arial" w:eastAsiaTheme="minorEastAsia" w:hAnsi="Arial"/>
          <w:b w:val="0"/>
          <w:bCs w:val="0"/>
          <w:caps w:val="0"/>
          <w:noProof/>
          <w:sz w:val="22"/>
          <w:szCs w:val="22"/>
        </w:rPr>
      </w:pPr>
      <w:hyperlink w:anchor="_Toc105688714" w:history="1">
        <w:r w:rsidR="001C5B3B" w:rsidRPr="001C5B3B">
          <w:rPr>
            <w:rStyle w:val="Hypertextovodkaz"/>
            <w:rFonts w:ascii="Arial" w:hAnsi="Arial"/>
            <w:noProof/>
            <w:sz w:val="22"/>
            <w:szCs w:val="22"/>
          </w:rPr>
          <w:t>2.</w:t>
        </w:r>
        <w:r w:rsidR="001C5B3B" w:rsidRPr="001C5B3B">
          <w:rPr>
            <w:rFonts w:ascii="Arial" w:eastAsiaTheme="minorEastAsia" w:hAnsi="Arial"/>
            <w:b w:val="0"/>
            <w:bCs w:val="0"/>
            <w:caps w:val="0"/>
            <w:noProof/>
            <w:sz w:val="22"/>
            <w:szCs w:val="22"/>
          </w:rPr>
          <w:tab/>
        </w:r>
        <w:r w:rsidR="001C5B3B" w:rsidRPr="001C5B3B">
          <w:rPr>
            <w:rStyle w:val="Hypertextovodkaz"/>
            <w:rFonts w:ascii="Arial" w:hAnsi="Arial"/>
            <w:noProof/>
            <w:sz w:val="22"/>
            <w:szCs w:val="22"/>
          </w:rPr>
          <w:t>Vymezení řešeného a zájmového území</w:t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tab/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fldChar w:fldCharType="begin"/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instrText xml:space="preserve"> PAGEREF _Toc105688714 \h </w:instrText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fldChar w:fldCharType="separate"/>
        </w:r>
        <w:r w:rsidR="00AF0725">
          <w:rPr>
            <w:rFonts w:ascii="Arial" w:hAnsi="Arial"/>
            <w:noProof/>
            <w:webHidden/>
            <w:sz w:val="22"/>
            <w:szCs w:val="22"/>
          </w:rPr>
          <w:t>4</w:t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fldChar w:fldCharType="end"/>
        </w:r>
      </w:hyperlink>
    </w:p>
    <w:p w14:paraId="1465C518" w14:textId="604F616A" w:rsidR="001C5B3B" w:rsidRPr="001C5B3B" w:rsidRDefault="007C540F">
      <w:pPr>
        <w:pStyle w:val="Obsah1"/>
        <w:tabs>
          <w:tab w:val="left" w:pos="440"/>
          <w:tab w:val="right" w:pos="9062"/>
        </w:tabs>
        <w:rPr>
          <w:rFonts w:ascii="Arial" w:eastAsiaTheme="minorEastAsia" w:hAnsi="Arial"/>
          <w:b w:val="0"/>
          <w:bCs w:val="0"/>
          <w:caps w:val="0"/>
          <w:noProof/>
          <w:sz w:val="22"/>
          <w:szCs w:val="22"/>
        </w:rPr>
      </w:pPr>
      <w:hyperlink w:anchor="_Toc105688715" w:history="1">
        <w:r w:rsidR="001C5B3B" w:rsidRPr="001C5B3B">
          <w:rPr>
            <w:rStyle w:val="Hypertextovodkaz"/>
            <w:rFonts w:ascii="Arial" w:hAnsi="Arial"/>
            <w:noProof/>
            <w:sz w:val="22"/>
            <w:szCs w:val="22"/>
          </w:rPr>
          <w:t>3.</w:t>
        </w:r>
        <w:r w:rsidR="001C5B3B" w:rsidRPr="001C5B3B">
          <w:rPr>
            <w:rFonts w:ascii="Arial" w:eastAsiaTheme="minorEastAsia" w:hAnsi="Arial"/>
            <w:b w:val="0"/>
            <w:bCs w:val="0"/>
            <w:caps w:val="0"/>
            <w:noProof/>
            <w:sz w:val="22"/>
            <w:szCs w:val="22"/>
          </w:rPr>
          <w:tab/>
        </w:r>
        <w:r w:rsidR="001C5B3B" w:rsidRPr="001C5B3B">
          <w:rPr>
            <w:rStyle w:val="Hypertextovodkaz"/>
            <w:rFonts w:ascii="Arial" w:hAnsi="Arial"/>
            <w:noProof/>
            <w:sz w:val="22"/>
            <w:szCs w:val="22"/>
          </w:rPr>
          <w:t>Majetkoprávní vztahy v řešeném území</w:t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tab/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fldChar w:fldCharType="begin"/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instrText xml:space="preserve"> PAGEREF _Toc105688715 \h </w:instrText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fldChar w:fldCharType="separate"/>
        </w:r>
        <w:r w:rsidR="00AF0725">
          <w:rPr>
            <w:rFonts w:ascii="Arial" w:hAnsi="Arial"/>
            <w:noProof/>
            <w:webHidden/>
            <w:sz w:val="22"/>
            <w:szCs w:val="22"/>
          </w:rPr>
          <w:t>5</w:t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fldChar w:fldCharType="end"/>
        </w:r>
      </w:hyperlink>
    </w:p>
    <w:p w14:paraId="1F46F2C7" w14:textId="54DD8967" w:rsidR="001C5B3B" w:rsidRPr="001C5B3B" w:rsidRDefault="007C540F">
      <w:pPr>
        <w:pStyle w:val="Obsah1"/>
        <w:tabs>
          <w:tab w:val="left" w:pos="440"/>
          <w:tab w:val="right" w:pos="9062"/>
        </w:tabs>
        <w:rPr>
          <w:rFonts w:ascii="Arial" w:eastAsiaTheme="minorEastAsia" w:hAnsi="Arial"/>
          <w:b w:val="0"/>
          <w:bCs w:val="0"/>
          <w:caps w:val="0"/>
          <w:noProof/>
          <w:sz w:val="22"/>
          <w:szCs w:val="22"/>
        </w:rPr>
      </w:pPr>
      <w:hyperlink w:anchor="_Toc105688716" w:history="1">
        <w:r w:rsidR="001C5B3B" w:rsidRPr="001C5B3B">
          <w:rPr>
            <w:rStyle w:val="Hypertextovodkaz"/>
            <w:rFonts w:ascii="Arial" w:hAnsi="Arial"/>
            <w:noProof/>
            <w:sz w:val="22"/>
            <w:szCs w:val="22"/>
          </w:rPr>
          <w:t>4.</w:t>
        </w:r>
        <w:r w:rsidR="001C5B3B" w:rsidRPr="001C5B3B">
          <w:rPr>
            <w:rFonts w:ascii="Arial" w:eastAsiaTheme="minorEastAsia" w:hAnsi="Arial"/>
            <w:b w:val="0"/>
            <w:bCs w:val="0"/>
            <w:caps w:val="0"/>
            <w:noProof/>
            <w:sz w:val="22"/>
            <w:szCs w:val="22"/>
          </w:rPr>
          <w:tab/>
        </w:r>
        <w:r w:rsidR="001C5B3B" w:rsidRPr="001C5B3B">
          <w:rPr>
            <w:rStyle w:val="Hypertextovodkaz"/>
            <w:rFonts w:ascii="Arial" w:hAnsi="Arial"/>
            <w:noProof/>
            <w:sz w:val="22"/>
            <w:szCs w:val="22"/>
          </w:rPr>
          <w:t>Východiska pro návrh dostavby 4. kvadrantu</w:t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tab/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fldChar w:fldCharType="begin"/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instrText xml:space="preserve"> PAGEREF _Toc105688716 \h </w:instrText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fldChar w:fldCharType="separate"/>
        </w:r>
        <w:r w:rsidR="00AF0725">
          <w:rPr>
            <w:rFonts w:ascii="Arial" w:hAnsi="Arial"/>
            <w:noProof/>
            <w:webHidden/>
            <w:sz w:val="22"/>
            <w:szCs w:val="22"/>
          </w:rPr>
          <w:t>6</w:t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fldChar w:fldCharType="end"/>
        </w:r>
      </w:hyperlink>
    </w:p>
    <w:p w14:paraId="7FDC7396" w14:textId="0F03A33F" w:rsidR="001C5B3B" w:rsidRPr="001C5B3B" w:rsidRDefault="007C540F">
      <w:pPr>
        <w:pStyle w:val="Obsah1"/>
        <w:tabs>
          <w:tab w:val="left" w:pos="440"/>
          <w:tab w:val="right" w:pos="9062"/>
        </w:tabs>
        <w:rPr>
          <w:rFonts w:ascii="Arial" w:eastAsiaTheme="minorEastAsia" w:hAnsi="Arial"/>
          <w:b w:val="0"/>
          <w:bCs w:val="0"/>
          <w:caps w:val="0"/>
          <w:noProof/>
          <w:sz w:val="22"/>
          <w:szCs w:val="22"/>
        </w:rPr>
      </w:pPr>
      <w:hyperlink w:anchor="_Toc105688717" w:history="1">
        <w:r w:rsidR="001C5B3B" w:rsidRPr="001C5B3B">
          <w:rPr>
            <w:rStyle w:val="Hypertextovodkaz"/>
            <w:rFonts w:ascii="Arial" w:hAnsi="Arial"/>
            <w:noProof/>
            <w:sz w:val="22"/>
            <w:szCs w:val="22"/>
          </w:rPr>
          <w:t>5.</w:t>
        </w:r>
        <w:r w:rsidR="001C5B3B" w:rsidRPr="001C5B3B">
          <w:rPr>
            <w:rFonts w:ascii="Arial" w:eastAsiaTheme="minorEastAsia" w:hAnsi="Arial"/>
            <w:b w:val="0"/>
            <w:bCs w:val="0"/>
            <w:caps w:val="0"/>
            <w:noProof/>
            <w:sz w:val="22"/>
            <w:szCs w:val="22"/>
          </w:rPr>
          <w:tab/>
        </w:r>
        <w:r w:rsidR="001C5B3B" w:rsidRPr="001C5B3B">
          <w:rPr>
            <w:rStyle w:val="Hypertextovodkaz"/>
            <w:rFonts w:ascii="Arial" w:hAnsi="Arial"/>
            <w:noProof/>
            <w:sz w:val="22"/>
            <w:szCs w:val="22"/>
          </w:rPr>
          <w:t>Témata k řešení</w:t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tab/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fldChar w:fldCharType="begin"/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instrText xml:space="preserve"> PAGEREF _Toc105688717 \h </w:instrText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fldChar w:fldCharType="separate"/>
        </w:r>
        <w:r w:rsidR="00AF0725">
          <w:rPr>
            <w:rFonts w:ascii="Arial" w:hAnsi="Arial"/>
            <w:noProof/>
            <w:webHidden/>
            <w:sz w:val="22"/>
            <w:szCs w:val="22"/>
          </w:rPr>
          <w:t>7</w:t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fldChar w:fldCharType="end"/>
        </w:r>
      </w:hyperlink>
    </w:p>
    <w:p w14:paraId="474B43A4" w14:textId="51B87011" w:rsidR="001C5B3B" w:rsidRPr="001C5B3B" w:rsidRDefault="007C540F">
      <w:pPr>
        <w:pStyle w:val="Obsah2"/>
        <w:tabs>
          <w:tab w:val="left" w:pos="880"/>
          <w:tab w:val="right" w:pos="9062"/>
        </w:tabs>
        <w:rPr>
          <w:rFonts w:ascii="Arial" w:eastAsiaTheme="minorEastAsia" w:hAnsi="Arial"/>
          <w:smallCaps w:val="0"/>
          <w:noProof/>
          <w:sz w:val="22"/>
          <w:szCs w:val="22"/>
        </w:rPr>
      </w:pPr>
      <w:hyperlink w:anchor="_Toc105688718" w:history="1">
        <w:r w:rsidR="001C5B3B" w:rsidRPr="001C5B3B">
          <w:rPr>
            <w:rStyle w:val="Hypertextovodkaz"/>
            <w:rFonts w:ascii="Arial" w:hAnsi="Arial"/>
            <w:noProof/>
            <w:sz w:val="22"/>
            <w:szCs w:val="22"/>
          </w:rPr>
          <w:t>5.1.</w:t>
        </w:r>
        <w:r w:rsidR="001C5B3B" w:rsidRPr="001C5B3B">
          <w:rPr>
            <w:rFonts w:ascii="Arial" w:eastAsiaTheme="minorEastAsia" w:hAnsi="Arial"/>
            <w:smallCaps w:val="0"/>
            <w:noProof/>
            <w:sz w:val="22"/>
            <w:szCs w:val="22"/>
          </w:rPr>
          <w:tab/>
        </w:r>
        <w:r w:rsidR="001C5B3B" w:rsidRPr="001C5B3B">
          <w:rPr>
            <w:rStyle w:val="Hypertextovodkaz"/>
            <w:rFonts w:ascii="Arial" w:hAnsi="Arial"/>
            <w:noProof/>
            <w:sz w:val="22"/>
            <w:szCs w:val="22"/>
          </w:rPr>
          <w:t>Využití území</w:t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tab/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fldChar w:fldCharType="begin"/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instrText xml:space="preserve"> PAGEREF _Toc105688718 \h </w:instrText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fldChar w:fldCharType="separate"/>
        </w:r>
        <w:r w:rsidR="00AF0725">
          <w:rPr>
            <w:rFonts w:ascii="Arial" w:hAnsi="Arial"/>
            <w:noProof/>
            <w:webHidden/>
            <w:sz w:val="22"/>
            <w:szCs w:val="22"/>
          </w:rPr>
          <w:t>7</w:t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fldChar w:fldCharType="end"/>
        </w:r>
      </w:hyperlink>
    </w:p>
    <w:p w14:paraId="2D6ED80D" w14:textId="211D9D07" w:rsidR="001C5B3B" w:rsidRPr="001C5B3B" w:rsidRDefault="007C540F">
      <w:pPr>
        <w:pStyle w:val="Obsah2"/>
        <w:tabs>
          <w:tab w:val="left" w:pos="880"/>
          <w:tab w:val="right" w:pos="9062"/>
        </w:tabs>
        <w:rPr>
          <w:rFonts w:ascii="Arial" w:eastAsiaTheme="minorEastAsia" w:hAnsi="Arial"/>
          <w:smallCaps w:val="0"/>
          <w:noProof/>
          <w:sz w:val="22"/>
          <w:szCs w:val="22"/>
        </w:rPr>
      </w:pPr>
      <w:hyperlink w:anchor="_Toc105688719" w:history="1">
        <w:r w:rsidR="001C5B3B" w:rsidRPr="001C5B3B">
          <w:rPr>
            <w:rStyle w:val="Hypertextovodkaz"/>
            <w:rFonts w:ascii="Arial" w:hAnsi="Arial"/>
            <w:noProof/>
            <w:sz w:val="22"/>
            <w:szCs w:val="22"/>
          </w:rPr>
          <w:t>5.2.</w:t>
        </w:r>
        <w:r w:rsidR="001C5B3B" w:rsidRPr="001C5B3B">
          <w:rPr>
            <w:rFonts w:ascii="Arial" w:eastAsiaTheme="minorEastAsia" w:hAnsi="Arial"/>
            <w:smallCaps w:val="0"/>
            <w:noProof/>
            <w:sz w:val="22"/>
            <w:szCs w:val="22"/>
          </w:rPr>
          <w:tab/>
        </w:r>
        <w:r w:rsidR="001C5B3B" w:rsidRPr="001C5B3B">
          <w:rPr>
            <w:rStyle w:val="Hypertextovodkaz"/>
            <w:rFonts w:ascii="Arial" w:hAnsi="Arial"/>
            <w:noProof/>
            <w:sz w:val="22"/>
            <w:szCs w:val="22"/>
          </w:rPr>
          <w:t>Struktura a charakter zástavby</w:t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tab/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fldChar w:fldCharType="begin"/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instrText xml:space="preserve"> PAGEREF _Toc105688719 \h </w:instrText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fldChar w:fldCharType="separate"/>
        </w:r>
        <w:r w:rsidR="00AF0725">
          <w:rPr>
            <w:rFonts w:ascii="Arial" w:hAnsi="Arial"/>
            <w:noProof/>
            <w:webHidden/>
            <w:sz w:val="22"/>
            <w:szCs w:val="22"/>
          </w:rPr>
          <w:t>8</w:t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fldChar w:fldCharType="end"/>
        </w:r>
      </w:hyperlink>
    </w:p>
    <w:p w14:paraId="10632CAA" w14:textId="7BC39ED1" w:rsidR="001C5B3B" w:rsidRPr="001C5B3B" w:rsidRDefault="007C540F">
      <w:pPr>
        <w:pStyle w:val="Obsah2"/>
        <w:tabs>
          <w:tab w:val="left" w:pos="880"/>
          <w:tab w:val="right" w:pos="9062"/>
        </w:tabs>
        <w:rPr>
          <w:rFonts w:ascii="Arial" w:eastAsiaTheme="minorEastAsia" w:hAnsi="Arial"/>
          <w:smallCaps w:val="0"/>
          <w:noProof/>
          <w:sz w:val="22"/>
          <w:szCs w:val="22"/>
        </w:rPr>
      </w:pPr>
      <w:hyperlink w:anchor="_Toc105688720" w:history="1">
        <w:r w:rsidR="001C5B3B" w:rsidRPr="001C5B3B">
          <w:rPr>
            <w:rStyle w:val="Hypertextovodkaz"/>
            <w:rFonts w:ascii="Arial" w:hAnsi="Arial"/>
            <w:noProof/>
            <w:sz w:val="22"/>
            <w:szCs w:val="22"/>
          </w:rPr>
          <w:t>5.3.</w:t>
        </w:r>
        <w:r w:rsidR="001C5B3B" w:rsidRPr="001C5B3B">
          <w:rPr>
            <w:rFonts w:ascii="Arial" w:eastAsiaTheme="minorEastAsia" w:hAnsi="Arial"/>
            <w:smallCaps w:val="0"/>
            <w:noProof/>
            <w:sz w:val="22"/>
            <w:szCs w:val="22"/>
          </w:rPr>
          <w:tab/>
        </w:r>
        <w:r w:rsidR="001C5B3B" w:rsidRPr="001C5B3B">
          <w:rPr>
            <w:rStyle w:val="Hypertextovodkaz"/>
            <w:rFonts w:ascii="Arial" w:hAnsi="Arial"/>
            <w:noProof/>
            <w:sz w:val="22"/>
            <w:szCs w:val="22"/>
          </w:rPr>
          <w:t>Veřejná prostranství</w:t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tab/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fldChar w:fldCharType="begin"/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instrText xml:space="preserve"> PAGEREF _Toc105688720 \h </w:instrText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fldChar w:fldCharType="separate"/>
        </w:r>
        <w:r w:rsidR="00AF0725">
          <w:rPr>
            <w:rFonts w:ascii="Arial" w:hAnsi="Arial"/>
            <w:noProof/>
            <w:webHidden/>
            <w:sz w:val="22"/>
            <w:szCs w:val="22"/>
          </w:rPr>
          <w:t>11</w:t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fldChar w:fldCharType="end"/>
        </w:r>
      </w:hyperlink>
    </w:p>
    <w:p w14:paraId="47B5233D" w14:textId="0A7A65CF" w:rsidR="001C5B3B" w:rsidRPr="001C5B3B" w:rsidRDefault="007C540F">
      <w:pPr>
        <w:pStyle w:val="Obsah2"/>
        <w:tabs>
          <w:tab w:val="left" w:pos="880"/>
          <w:tab w:val="right" w:pos="9062"/>
        </w:tabs>
        <w:rPr>
          <w:rFonts w:ascii="Arial" w:eastAsiaTheme="minorEastAsia" w:hAnsi="Arial"/>
          <w:smallCaps w:val="0"/>
          <w:noProof/>
          <w:sz w:val="22"/>
          <w:szCs w:val="22"/>
        </w:rPr>
      </w:pPr>
      <w:hyperlink w:anchor="_Toc105688721" w:history="1">
        <w:r w:rsidR="001C5B3B" w:rsidRPr="001C5B3B">
          <w:rPr>
            <w:rStyle w:val="Hypertextovodkaz"/>
            <w:rFonts w:ascii="Arial" w:hAnsi="Arial"/>
            <w:noProof/>
            <w:sz w:val="22"/>
            <w:szCs w:val="22"/>
          </w:rPr>
          <w:t>5.4.</w:t>
        </w:r>
        <w:r w:rsidR="001C5B3B" w:rsidRPr="001C5B3B">
          <w:rPr>
            <w:rFonts w:ascii="Arial" w:eastAsiaTheme="minorEastAsia" w:hAnsi="Arial"/>
            <w:smallCaps w:val="0"/>
            <w:noProof/>
            <w:sz w:val="22"/>
            <w:szCs w:val="22"/>
          </w:rPr>
          <w:tab/>
        </w:r>
        <w:r w:rsidR="001C5B3B" w:rsidRPr="001C5B3B">
          <w:rPr>
            <w:rStyle w:val="Hypertextovodkaz"/>
            <w:rFonts w:ascii="Arial" w:hAnsi="Arial"/>
            <w:noProof/>
            <w:sz w:val="22"/>
            <w:szCs w:val="22"/>
          </w:rPr>
          <w:t>Modro-zelená infrastruktura</w:t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tab/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fldChar w:fldCharType="begin"/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instrText xml:space="preserve"> PAGEREF _Toc105688721 \h </w:instrText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fldChar w:fldCharType="separate"/>
        </w:r>
        <w:r w:rsidR="00AF0725">
          <w:rPr>
            <w:rFonts w:ascii="Arial" w:hAnsi="Arial"/>
            <w:noProof/>
            <w:webHidden/>
            <w:sz w:val="22"/>
            <w:szCs w:val="22"/>
          </w:rPr>
          <w:t>12</w:t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fldChar w:fldCharType="end"/>
        </w:r>
      </w:hyperlink>
    </w:p>
    <w:p w14:paraId="0B15BED1" w14:textId="680E8E83" w:rsidR="001C5B3B" w:rsidRPr="001C5B3B" w:rsidRDefault="007C540F">
      <w:pPr>
        <w:pStyle w:val="Obsah2"/>
        <w:tabs>
          <w:tab w:val="left" w:pos="880"/>
          <w:tab w:val="right" w:pos="9062"/>
        </w:tabs>
        <w:rPr>
          <w:rFonts w:ascii="Arial" w:eastAsiaTheme="minorEastAsia" w:hAnsi="Arial"/>
          <w:smallCaps w:val="0"/>
          <w:noProof/>
          <w:sz w:val="22"/>
          <w:szCs w:val="22"/>
        </w:rPr>
      </w:pPr>
      <w:hyperlink w:anchor="_Toc105688722" w:history="1">
        <w:r w:rsidR="001C5B3B" w:rsidRPr="001C5B3B">
          <w:rPr>
            <w:rStyle w:val="Hypertextovodkaz"/>
            <w:rFonts w:ascii="Arial" w:hAnsi="Arial"/>
            <w:noProof/>
            <w:sz w:val="22"/>
            <w:szCs w:val="22"/>
          </w:rPr>
          <w:t>5.5.</w:t>
        </w:r>
        <w:r w:rsidR="001C5B3B" w:rsidRPr="001C5B3B">
          <w:rPr>
            <w:rFonts w:ascii="Arial" w:eastAsiaTheme="minorEastAsia" w:hAnsi="Arial"/>
            <w:smallCaps w:val="0"/>
            <w:noProof/>
            <w:sz w:val="22"/>
            <w:szCs w:val="22"/>
          </w:rPr>
          <w:tab/>
        </w:r>
        <w:r w:rsidR="001C5B3B" w:rsidRPr="001C5B3B">
          <w:rPr>
            <w:rStyle w:val="Hypertextovodkaz"/>
            <w:rFonts w:ascii="Arial" w:hAnsi="Arial"/>
            <w:noProof/>
            <w:sz w:val="22"/>
            <w:szCs w:val="22"/>
          </w:rPr>
          <w:t>Doprava</w:t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tab/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fldChar w:fldCharType="begin"/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instrText xml:space="preserve"> PAGEREF _Toc105688722 \h </w:instrText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fldChar w:fldCharType="separate"/>
        </w:r>
        <w:r w:rsidR="00AF0725">
          <w:rPr>
            <w:rFonts w:ascii="Arial" w:hAnsi="Arial"/>
            <w:noProof/>
            <w:webHidden/>
            <w:sz w:val="22"/>
            <w:szCs w:val="22"/>
          </w:rPr>
          <w:t>13</w:t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fldChar w:fldCharType="end"/>
        </w:r>
      </w:hyperlink>
    </w:p>
    <w:p w14:paraId="5C4621BB" w14:textId="2D1ED2BF" w:rsidR="001C5B3B" w:rsidRPr="001C5B3B" w:rsidRDefault="007C540F">
      <w:pPr>
        <w:pStyle w:val="Obsah2"/>
        <w:tabs>
          <w:tab w:val="left" w:pos="880"/>
          <w:tab w:val="right" w:pos="9062"/>
        </w:tabs>
        <w:rPr>
          <w:rFonts w:ascii="Arial" w:eastAsiaTheme="minorEastAsia" w:hAnsi="Arial"/>
          <w:smallCaps w:val="0"/>
          <w:noProof/>
          <w:sz w:val="22"/>
          <w:szCs w:val="22"/>
        </w:rPr>
      </w:pPr>
      <w:hyperlink w:anchor="_Toc105688723" w:history="1">
        <w:r w:rsidR="001C5B3B" w:rsidRPr="001C5B3B">
          <w:rPr>
            <w:rStyle w:val="Hypertextovodkaz"/>
            <w:rFonts w:ascii="Arial" w:hAnsi="Arial"/>
            <w:noProof/>
            <w:sz w:val="22"/>
            <w:szCs w:val="22"/>
          </w:rPr>
          <w:t>5.6.</w:t>
        </w:r>
        <w:r w:rsidR="001C5B3B" w:rsidRPr="001C5B3B">
          <w:rPr>
            <w:rFonts w:ascii="Arial" w:eastAsiaTheme="minorEastAsia" w:hAnsi="Arial"/>
            <w:smallCaps w:val="0"/>
            <w:noProof/>
            <w:sz w:val="22"/>
            <w:szCs w:val="22"/>
          </w:rPr>
          <w:tab/>
        </w:r>
        <w:r w:rsidR="001C5B3B" w:rsidRPr="001C5B3B">
          <w:rPr>
            <w:rStyle w:val="Hypertextovodkaz"/>
            <w:rFonts w:ascii="Arial" w:hAnsi="Arial"/>
            <w:noProof/>
            <w:sz w:val="22"/>
            <w:szCs w:val="22"/>
          </w:rPr>
          <w:t>Technická infrastruktura a energetická koncepce budov</w:t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tab/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fldChar w:fldCharType="begin"/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instrText xml:space="preserve"> PAGEREF _Toc105688723 \h </w:instrText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fldChar w:fldCharType="separate"/>
        </w:r>
        <w:r w:rsidR="00AF0725">
          <w:rPr>
            <w:rFonts w:ascii="Arial" w:hAnsi="Arial"/>
            <w:noProof/>
            <w:webHidden/>
            <w:sz w:val="22"/>
            <w:szCs w:val="22"/>
          </w:rPr>
          <w:t>14</w:t>
        </w:r>
        <w:r w:rsidR="001C5B3B" w:rsidRPr="001C5B3B">
          <w:rPr>
            <w:rFonts w:ascii="Arial" w:hAnsi="Arial"/>
            <w:noProof/>
            <w:webHidden/>
            <w:sz w:val="22"/>
            <w:szCs w:val="22"/>
          </w:rPr>
          <w:fldChar w:fldCharType="end"/>
        </w:r>
      </w:hyperlink>
    </w:p>
    <w:p w14:paraId="3108D1A1" w14:textId="0988D98E" w:rsidR="009A08B9" w:rsidRPr="001C5B3B" w:rsidRDefault="007277A2">
      <w:r w:rsidRPr="001C5B3B">
        <w:fldChar w:fldCharType="end"/>
      </w:r>
    </w:p>
    <w:p w14:paraId="65A3D5C6" w14:textId="77777777" w:rsidR="009A08B9" w:rsidRPr="001C5B3B" w:rsidRDefault="009A08B9"/>
    <w:p w14:paraId="7F39480B" w14:textId="3206462E" w:rsidR="0059431A" w:rsidRPr="001C5B3B" w:rsidRDefault="00C006BE" w:rsidP="0059431A">
      <w:pPr>
        <w:rPr>
          <w:b/>
        </w:rPr>
      </w:pPr>
      <w:r w:rsidRPr="001C5B3B">
        <w:br w:type="page"/>
      </w:r>
      <w:bookmarkStart w:id="2" w:name="_Toc104908745"/>
    </w:p>
    <w:p w14:paraId="0B91C030" w14:textId="4385CDE9" w:rsidR="00D24503" w:rsidRPr="001C5B3B" w:rsidRDefault="00D348BE" w:rsidP="000D424E">
      <w:pPr>
        <w:pStyle w:val="Nadpis1"/>
      </w:pPr>
      <w:bookmarkStart w:id="3" w:name="_Toc105688713"/>
      <w:r w:rsidRPr="001C5B3B">
        <w:lastRenderedPageBreak/>
        <w:t>Předmět řešení</w:t>
      </w:r>
      <w:bookmarkEnd w:id="0"/>
      <w:bookmarkEnd w:id="1"/>
      <w:bookmarkEnd w:id="2"/>
      <w:bookmarkEnd w:id="3"/>
    </w:p>
    <w:p w14:paraId="5AD53452" w14:textId="6205DFEB" w:rsidR="0059431A" w:rsidRPr="001C5B3B" w:rsidRDefault="0059431A" w:rsidP="0059431A">
      <w:r w:rsidRPr="001C5B3B">
        <w:t xml:space="preserve">Předmětem soutěže je nalezení optimálního architektonického a urbanistického řešení dotvoření území navazujícího na Vítězné náměstí, konkrétně území vymezeného ulicemi Jugoslávských partyzánů a Evropská. </w:t>
      </w:r>
      <w:r w:rsidR="006A03D0" w:rsidRPr="001C5B3B">
        <w:t xml:space="preserve">Cílem soutěže je vybrat takový návrh, který bude respektovat urbanistickou koncepci Dejvic Antonína </w:t>
      </w:r>
      <w:proofErr w:type="spellStart"/>
      <w:r w:rsidR="006A03D0" w:rsidRPr="001C5B3B">
        <w:t>Engela</w:t>
      </w:r>
      <w:proofErr w:type="spellEnd"/>
      <w:r w:rsidR="006A03D0" w:rsidRPr="001C5B3B">
        <w:t xml:space="preserve"> z roku 192</w:t>
      </w:r>
      <w:r w:rsidR="007737BF" w:rsidRPr="001C5B3B">
        <w:t>4</w:t>
      </w:r>
      <w:r w:rsidR="00F866F6" w:rsidRPr="001C5B3B">
        <w:t xml:space="preserve"> a</w:t>
      </w:r>
      <w:r w:rsidR="006A03D0" w:rsidRPr="001C5B3B">
        <w:t xml:space="preserve"> zohlední soudobé požadavky </w:t>
      </w:r>
      <w:r w:rsidR="00F866F6" w:rsidRPr="001C5B3B">
        <w:t xml:space="preserve">na polyfunkční zástavbu nejvyšších enviromentálních standardů, jež bude místem čilého společenského, ekonomického a kulturního života Prahy 6. </w:t>
      </w:r>
    </w:p>
    <w:p w14:paraId="0B2ADACF" w14:textId="25CE569B" w:rsidR="009E5E56" w:rsidRPr="001C5B3B" w:rsidRDefault="009E5E56" w:rsidP="0059431A">
      <w:r w:rsidRPr="001C5B3B">
        <w:t>V rámci dostavby 4. kvadrantu budou řešeny záměry společnosti Fo</w:t>
      </w:r>
      <w:r w:rsidR="00557955" w:rsidRPr="001C5B3B">
        <w:t>u</w:t>
      </w:r>
      <w:r w:rsidRPr="001C5B3B">
        <w:t>rth Quadrant a Vysoké školy chemicko-technologické (VŠCHT) a jejich skloubení se záměry města na revitalizaci Vítězného náměstí a veřejných prostranství areálu Kampusu Dejvice.</w:t>
      </w:r>
    </w:p>
    <w:p w14:paraId="60F87B7E" w14:textId="77777777" w:rsidR="009E5E56" w:rsidRPr="001C5B3B" w:rsidRDefault="009E5E56" w:rsidP="00783342">
      <w:pPr>
        <w:pStyle w:val="Nadpis3"/>
      </w:pPr>
      <w:bookmarkStart w:id="4" w:name="_Toc104908009"/>
      <w:bookmarkStart w:id="5" w:name="_Toc104908118"/>
      <w:bookmarkStart w:id="6" w:name="_Toc104908748"/>
      <w:r w:rsidRPr="001C5B3B">
        <w:t>Záměr společnosti Fourth Quadrant</w:t>
      </w:r>
      <w:bookmarkEnd w:id="4"/>
      <w:bookmarkEnd w:id="5"/>
      <w:bookmarkEnd w:id="6"/>
    </w:p>
    <w:p w14:paraId="20591B1D" w14:textId="37F9DC5D" w:rsidR="00BB2987" w:rsidRPr="001C5B3B" w:rsidRDefault="009E5E56" w:rsidP="009E5E56">
      <w:r w:rsidRPr="001C5B3B">
        <w:t>Společnost Fo</w:t>
      </w:r>
      <w:r w:rsidR="008838E8" w:rsidRPr="001C5B3B">
        <w:t>u</w:t>
      </w:r>
      <w:r w:rsidRPr="001C5B3B">
        <w:t xml:space="preserve">rth Quadrant hledá </w:t>
      </w:r>
      <w:r w:rsidR="00461C33" w:rsidRPr="001C5B3B">
        <w:t>inovativní</w:t>
      </w:r>
      <w:r w:rsidRPr="001C5B3B">
        <w:t>, funkční a efektivní řešení dostavby 4.</w:t>
      </w:r>
      <w:r w:rsidR="00461C33" w:rsidRPr="001C5B3B">
        <w:t> </w:t>
      </w:r>
      <w:r w:rsidRPr="001C5B3B">
        <w:t xml:space="preserve">kvadrantu, které naváže na </w:t>
      </w:r>
      <w:r w:rsidR="00783342" w:rsidRPr="001C5B3B">
        <w:t>urbanistickou strukturu území</w:t>
      </w:r>
      <w:r w:rsidRPr="001C5B3B">
        <w:t xml:space="preserve"> i plány města na revitalizaci Vítězného náměstí a Kampusu Dejvice. </w:t>
      </w:r>
    </w:p>
    <w:p w14:paraId="44B6994C" w14:textId="72D32369" w:rsidR="00C73C92" w:rsidRPr="001C5B3B" w:rsidRDefault="00C73C92" w:rsidP="009E5E56">
      <w:r w:rsidRPr="001C5B3B">
        <w:t>Záměrem společnosti je vybudovat v řešeném území polyfunkční objekty</w:t>
      </w:r>
      <w:r w:rsidR="00F866F6" w:rsidRPr="001C5B3B">
        <w:t>, které nabídnou prostory pro občanskou vybavenost, s</w:t>
      </w:r>
      <w:r w:rsidR="00783342" w:rsidRPr="001C5B3B">
        <w:t xml:space="preserve"> bydlení</w:t>
      </w:r>
      <w:r w:rsidR="00F866F6" w:rsidRPr="001C5B3B">
        <w:t>m</w:t>
      </w:r>
      <w:r w:rsidR="00783342" w:rsidRPr="001C5B3B">
        <w:t xml:space="preserve"> a kanceláře</w:t>
      </w:r>
      <w:r w:rsidR="00F866F6" w:rsidRPr="001C5B3B">
        <w:t>mi</w:t>
      </w:r>
      <w:r w:rsidR="00783342" w:rsidRPr="001C5B3B">
        <w:t xml:space="preserve"> </w:t>
      </w:r>
      <w:r w:rsidR="00F866F6" w:rsidRPr="001C5B3B">
        <w:t>ve vyšších patrech.</w:t>
      </w:r>
      <w:r w:rsidRPr="001C5B3B">
        <w:t xml:space="preserve"> </w:t>
      </w:r>
      <w:r w:rsidR="00F866F6" w:rsidRPr="001C5B3B">
        <w:t xml:space="preserve">Realizace dostavby 4. kvadrantu tak </w:t>
      </w:r>
      <w:r w:rsidRPr="001C5B3B">
        <w:t>přispěje k</w:t>
      </w:r>
      <w:r w:rsidR="0031396F" w:rsidRPr="001C5B3B">
        <w:t> revitalizaci Vítězného náměstí</w:t>
      </w:r>
      <w:r w:rsidRPr="001C5B3B">
        <w:t xml:space="preserve"> a </w:t>
      </w:r>
      <w:r w:rsidR="00A53A0A" w:rsidRPr="001C5B3B">
        <w:t xml:space="preserve">navazujících ulic a k </w:t>
      </w:r>
      <w:r w:rsidRPr="001C5B3B">
        <w:t xml:space="preserve">řešení </w:t>
      </w:r>
      <w:r w:rsidR="00783342" w:rsidRPr="001C5B3B">
        <w:t xml:space="preserve">deficitu </w:t>
      </w:r>
      <w:r w:rsidR="00773ABF" w:rsidRPr="001C5B3B">
        <w:t xml:space="preserve">občanské vybavenosti, </w:t>
      </w:r>
      <w:r w:rsidRPr="001C5B3B">
        <w:t>obch</w:t>
      </w:r>
      <w:r w:rsidR="00783342" w:rsidRPr="001C5B3B">
        <w:t>odů a</w:t>
      </w:r>
      <w:r w:rsidRPr="001C5B3B">
        <w:t xml:space="preserve"> služeb jak </w:t>
      </w:r>
      <w:r w:rsidR="00035925" w:rsidRPr="001C5B3B">
        <w:t>pro obyvatele</w:t>
      </w:r>
      <w:r w:rsidR="00773ABF" w:rsidRPr="001C5B3B">
        <w:t> navazující obytné čtvrti,</w:t>
      </w:r>
      <w:r w:rsidRPr="001C5B3B">
        <w:t xml:space="preserve"> tak </w:t>
      </w:r>
      <w:r w:rsidR="00F866F6" w:rsidRPr="001C5B3B">
        <w:t xml:space="preserve">i </w:t>
      </w:r>
      <w:r w:rsidR="00035925" w:rsidRPr="001C5B3B">
        <w:t xml:space="preserve">pro studenty a zaměstnance </w:t>
      </w:r>
      <w:r w:rsidRPr="001C5B3B">
        <w:t>v </w:t>
      </w:r>
      <w:r w:rsidR="00035925" w:rsidRPr="001C5B3B">
        <w:t>k</w:t>
      </w:r>
      <w:r w:rsidRPr="001C5B3B">
        <w:t>ampusu Dejvice.</w:t>
      </w:r>
    </w:p>
    <w:p w14:paraId="65DC6468" w14:textId="77777777" w:rsidR="009E5E56" w:rsidRPr="001C5B3B" w:rsidRDefault="009E5E56" w:rsidP="009E5E56">
      <w:pPr>
        <w:pStyle w:val="Nadpis3"/>
      </w:pPr>
      <w:bookmarkStart w:id="7" w:name="_Toc104908010"/>
      <w:bookmarkStart w:id="8" w:name="_Toc104908119"/>
      <w:bookmarkStart w:id="9" w:name="_Toc104908749"/>
      <w:r w:rsidRPr="001C5B3B">
        <w:t>Záměr VŠCHT</w:t>
      </w:r>
      <w:bookmarkEnd w:id="7"/>
      <w:bookmarkEnd w:id="8"/>
      <w:bookmarkEnd w:id="9"/>
    </w:p>
    <w:p w14:paraId="5304D933" w14:textId="458D60C8" w:rsidR="009E5E56" w:rsidRPr="001C5B3B" w:rsidRDefault="009E5E56" w:rsidP="009E5E56">
      <w:pPr>
        <w:pStyle w:val="Odstavecseseznamem"/>
        <w:spacing w:after="0"/>
        <w:ind w:left="0"/>
        <w:jc w:val="both"/>
        <w:rPr>
          <w:rFonts w:cstheme="minorHAnsi"/>
        </w:rPr>
      </w:pPr>
      <w:r w:rsidRPr="001C5B3B">
        <w:rPr>
          <w:rFonts w:cstheme="minorHAnsi"/>
        </w:rPr>
        <w:t xml:space="preserve">Záměrem VŠCHT je v území 4. kvadrantu vybudovat objekt, který doplní historické budovy školy v kampusu Dejvice. V nové budově budou prostory pro </w:t>
      </w:r>
      <w:r w:rsidR="00261B74" w:rsidRPr="001C5B3B">
        <w:rPr>
          <w:rFonts w:cstheme="minorHAnsi"/>
        </w:rPr>
        <w:t xml:space="preserve">výuku a </w:t>
      </w:r>
      <w:r w:rsidRPr="001C5B3B">
        <w:rPr>
          <w:rFonts w:cstheme="minorHAnsi"/>
        </w:rPr>
        <w:t>administrativu univerzity</w:t>
      </w:r>
      <w:r w:rsidR="00461C33" w:rsidRPr="001C5B3B">
        <w:rPr>
          <w:rFonts w:cstheme="minorHAnsi"/>
        </w:rPr>
        <w:t>.</w:t>
      </w:r>
      <w:r w:rsidR="00261B74" w:rsidRPr="001C5B3B">
        <w:rPr>
          <w:rFonts w:cstheme="minorHAnsi"/>
        </w:rPr>
        <w:t xml:space="preserve"> </w:t>
      </w:r>
      <w:r w:rsidR="00461C33" w:rsidRPr="001C5B3B">
        <w:rPr>
          <w:rFonts w:cstheme="minorHAnsi"/>
        </w:rPr>
        <w:t>S</w:t>
      </w:r>
      <w:r w:rsidRPr="001C5B3B">
        <w:rPr>
          <w:rFonts w:cstheme="minorHAnsi"/>
        </w:rPr>
        <w:t xml:space="preserve">vé sídlo zde najdou ústavy, které ke svému fungování nepotřebují laboratoře. </w:t>
      </w:r>
      <w:r w:rsidR="00261B74" w:rsidRPr="001C5B3B">
        <w:rPr>
          <w:rFonts w:cstheme="minorHAnsi"/>
        </w:rPr>
        <w:t xml:space="preserve">V přízemí </w:t>
      </w:r>
      <w:r w:rsidRPr="001C5B3B">
        <w:rPr>
          <w:rFonts w:cstheme="minorHAnsi"/>
        </w:rPr>
        <w:t xml:space="preserve">objektu budou </w:t>
      </w:r>
      <w:r w:rsidR="00461C33" w:rsidRPr="001C5B3B">
        <w:rPr>
          <w:rFonts w:cstheme="minorHAnsi"/>
        </w:rPr>
        <w:t xml:space="preserve">umístěny </w:t>
      </w:r>
      <w:r w:rsidRPr="001C5B3B">
        <w:rPr>
          <w:rFonts w:cstheme="minorHAnsi"/>
        </w:rPr>
        <w:t>prostory</w:t>
      </w:r>
      <w:r w:rsidR="00461C33" w:rsidRPr="001C5B3B">
        <w:rPr>
          <w:rFonts w:cstheme="minorHAnsi"/>
        </w:rPr>
        <w:t xml:space="preserve"> pro využití veřejností jako </w:t>
      </w:r>
      <w:proofErr w:type="gramStart"/>
      <w:r w:rsidR="00461C33" w:rsidRPr="001C5B3B">
        <w:rPr>
          <w:rFonts w:cstheme="minorHAnsi"/>
        </w:rPr>
        <w:t>je</w:t>
      </w:r>
      <w:r w:rsidRPr="001C5B3B">
        <w:rPr>
          <w:rFonts w:cstheme="minorHAnsi"/>
        </w:rPr>
        <w:t xml:space="preserve"> </w:t>
      </w:r>
      <w:r w:rsidR="00261B74" w:rsidRPr="001C5B3B">
        <w:rPr>
          <w:rFonts w:cstheme="minorHAnsi"/>
        </w:rPr>
        <w:t xml:space="preserve"> </w:t>
      </w:r>
      <w:r w:rsidRPr="001C5B3B">
        <w:rPr>
          <w:rFonts w:cstheme="minorHAnsi"/>
        </w:rPr>
        <w:t>společensk</w:t>
      </w:r>
      <w:r w:rsidR="00261B74" w:rsidRPr="001C5B3B">
        <w:rPr>
          <w:rFonts w:cstheme="minorHAnsi"/>
        </w:rPr>
        <w:t>ý</w:t>
      </w:r>
      <w:proofErr w:type="gramEnd"/>
      <w:r w:rsidRPr="001C5B3B">
        <w:rPr>
          <w:rFonts w:cstheme="minorHAnsi"/>
        </w:rPr>
        <w:t xml:space="preserve"> sál, restaurace</w:t>
      </w:r>
      <w:r w:rsidR="00261B74" w:rsidRPr="001C5B3B">
        <w:rPr>
          <w:rFonts w:cstheme="minorHAnsi"/>
        </w:rPr>
        <w:t xml:space="preserve"> a minipivovar.</w:t>
      </w:r>
      <w:r w:rsidRPr="001C5B3B">
        <w:rPr>
          <w:rFonts w:cstheme="minorHAnsi"/>
        </w:rPr>
        <w:t xml:space="preserve"> </w:t>
      </w:r>
    </w:p>
    <w:p w14:paraId="2BC031E4" w14:textId="77777777" w:rsidR="00D86220" w:rsidRPr="001C5B3B" w:rsidRDefault="00D86220">
      <w:pPr>
        <w:rPr>
          <w:b/>
          <w:sz w:val="48"/>
          <w:szCs w:val="48"/>
        </w:rPr>
      </w:pPr>
      <w:bookmarkStart w:id="10" w:name="_Toc104908007"/>
      <w:bookmarkStart w:id="11" w:name="_Toc104908116"/>
      <w:bookmarkStart w:id="12" w:name="_Toc104908746"/>
      <w:r w:rsidRPr="001C5B3B">
        <w:br w:type="page"/>
      </w:r>
    </w:p>
    <w:p w14:paraId="25032A0E" w14:textId="350213D9" w:rsidR="00E10029" w:rsidRPr="001C5B3B" w:rsidRDefault="00D348BE" w:rsidP="000D424E">
      <w:pPr>
        <w:pStyle w:val="Nadpis1"/>
      </w:pPr>
      <w:bookmarkStart w:id="13" w:name="_Toc105688714"/>
      <w:r w:rsidRPr="001C5B3B">
        <w:lastRenderedPageBreak/>
        <w:t>Vymezení řešeného</w:t>
      </w:r>
      <w:r w:rsidR="00E10029" w:rsidRPr="001C5B3B">
        <w:t xml:space="preserve"> </w:t>
      </w:r>
      <w:r w:rsidRPr="001C5B3B">
        <w:t>a zájmového území</w:t>
      </w:r>
      <w:bookmarkEnd w:id="10"/>
      <w:bookmarkEnd w:id="11"/>
      <w:bookmarkEnd w:id="12"/>
      <w:bookmarkEnd w:id="13"/>
    </w:p>
    <w:p w14:paraId="31B2078A" w14:textId="2517203D" w:rsidR="00636FE2" w:rsidRPr="001C5B3B" w:rsidRDefault="001D3E1D" w:rsidP="00FE098D">
      <w:r w:rsidRPr="001C5B3B">
        <w:t>Řešené území je z</w:t>
      </w:r>
      <w:r w:rsidR="006E6197" w:rsidRPr="001C5B3B">
        <w:t xml:space="preserve"> jihu ohraničeno </w:t>
      </w:r>
      <w:r w:rsidRPr="001C5B3B">
        <w:t>uliční čarou založenou v ulici Evropská</w:t>
      </w:r>
      <w:r w:rsidR="00783342" w:rsidRPr="001C5B3B">
        <w:t xml:space="preserve"> a </w:t>
      </w:r>
      <w:r w:rsidR="006E6197" w:rsidRPr="001C5B3B">
        <w:t xml:space="preserve">z východu </w:t>
      </w:r>
      <w:r w:rsidRPr="001C5B3B">
        <w:t xml:space="preserve">uliční čarou založenou v ulici </w:t>
      </w:r>
      <w:r w:rsidR="006E6197" w:rsidRPr="001C5B3B">
        <w:t>Jugoslávských partyzánů</w:t>
      </w:r>
      <w:r w:rsidRPr="001C5B3B">
        <w:t>. Směrem do Vítězného náměstí</w:t>
      </w:r>
      <w:r w:rsidR="00B21414" w:rsidRPr="001C5B3B">
        <w:t xml:space="preserve"> a ulice Šolínova</w:t>
      </w:r>
      <w:r w:rsidR="006E6197" w:rsidRPr="001C5B3B">
        <w:t xml:space="preserve"> </w:t>
      </w:r>
      <w:r w:rsidR="00B21414" w:rsidRPr="001C5B3B">
        <w:t xml:space="preserve">je řešené území vymezeno po hranu pozemků, které jsou v majoritním vlastnictví společnosti Fourth Quadrant a VŠCHT. </w:t>
      </w:r>
      <w:r w:rsidR="00636FE2" w:rsidRPr="001C5B3B">
        <w:t xml:space="preserve">Řešené území se k ulici Jugoslávských partyzánů mírně svažuje. </w:t>
      </w:r>
    </w:p>
    <w:p w14:paraId="61FF859B" w14:textId="5BC6AEF9" w:rsidR="00DD61B0" w:rsidRPr="001C5B3B" w:rsidRDefault="00035925" w:rsidP="00FE098D">
      <w:r w:rsidRPr="001C5B3B">
        <w:t xml:space="preserve">V okolí </w:t>
      </w:r>
      <w:r w:rsidR="00B21414" w:rsidRPr="001C5B3B">
        <w:t>řešeného území je vymezena zóna zájmového území, tedy území, v</w:t>
      </w:r>
      <w:r w:rsidR="003A3D02" w:rsidRPr="001C5B3B">
        <w:t>e</w:t>
      </w:r>
      <w:r w:rsidR="00B21414" w:rsidRPr="001C5B3B">
        <w:t xml:space="preserve"> kterém budou navazující veřejná prostranství intenzivně ovlivněna dostavbou 4. kvadrantu. </w:t>
      </w:r>
    </w:p>
    <w:p w14:paraId="49DBE6C8" w14:textId="26A769B2" w:rsidR="00D9759B" w:rsidRPr="001C5B3B" w:rsidRDefault="00D9759B" w:rsidP="00D9759B">
      <w:pPr>
        <w:rPr>
          <w:i/>
          <w:iCs/>
        </w:rPr>
      </w:pPr>
      <w:r w:rsidRPr="001C5B3B">
        <w:rPr>
          <w:i/>
          <w:iCs/>
        </w:rPr>
        <w:t>Schéma vymezení řešeného a zájmového území, zdroj: ONplan</w:t>
      </w:r>
    </w:p>
    <w:p w14:paraId="0E0CA82B" w14:textId="23922904" w:rsidR="00D91878" w:rsidRPr="001C5B3B" w:rsidRDefault="007D67D6" w:rsidP="00FE098D">
      <w:r w:rsidRPr="001C5B3B">
        <w:rPr>
          <w:noProof/>
        </w:rPr>
        <w:drawing>
          <wp:inline distT="0" distB="0" distL="0" distR="0" wp14:anchorId="393C353A" wp14:editId="3AF4D83D">
            <wp:extent cx="5760720" cy="4244340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4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051CB" w14:textId="77777777" w:rsidR="00D91878" w:rsidRPr="001C5B3B" w:rsidRDefault="00D91878">
      <w:pPr>
        <w:rPr>
          <w:b/>
          <w:sz w:val="48"/>
          <w:szCs w:val="48"/>
        </w:rPr>
      </w:pPr>
      <w:r w:rsidRPr="001C5B3B">
        <w:br w:type="page"/>
      </w:r>
    </w:p>
    <w:p w14:paraId="0AB88B9C" w14:textId="479A424E" w:rsidR="005966B0" w:rsidRPr="001C5B3B" w:rsidRDefault="00D348BE" w:rsidP="000D424E">
      <w:pPr>
        <w:pStyle w:val="Nadpis1"/>
      </w:pPr>
      <w:bookmarkStart w:id="14" w:name="_Toc104908008"/>
      <w:bookmarkStart w:id="15" w:name="_Toc104908117"/>
      <w:bookmarkStart w:id="16" w:name="_Toc104908747"/>
      <w:bookmarkStart w:id="17" w:name="_Toc105688715"/>
      <w:r w:rsidRPr="001C5B3B">
        <w:lastRenderedPageBreak/>
        <w:t>Majetkoprávní vztahy v řešeném území</w:t>
      </w:r>
      <w:bookmarkEnd w:id="14"/>
      <w:bookmarkEnd w:id="15"/>
      <w:bookmarkEnd w:id="16"/>
      <w:bookmarkEnd w:id="17"/>
    </w:p>
    <w:p w14:paraId="6BB0F13A" w14:textId="11EB9E55" w:rsidR="00804375" w:rsidRPr="001C5B3B" w:rsidRDefault="00FC2B45" w:rsidP="00A805BE">
      <w:r w:rsidRPr="001C5B3B">
        <w:t>Většinovým vlastníkem pozemků v</w:t>
      </w:r>
      <w:r w:rsidR="00A805BE" w:rsidRPr="001C5B3B">
        <w:t xml:space="preserve"> řešené</w:t>
      </w:r>
      <w:r w:rsidRPr="001C5B3B">
        <w:t>m</w:t>
      </w:r>
      <w:r w:rsidR="00A805BE" w:rsidRPr="001C5B3B">
        <w:t xml:space="preserve"> území</w:t>
      </w:r>
      <w:r w:rsidRPr="001C5B3B">
        <w:t xml:space="preserve"> </w:t>
      </w:r>
      <w:r w:rsidR="00A805BE" w:rsidRPr="001C5B3B">
        <w:t>je zadavatel soutěž</w:t>
      </w:r>
      <w:r w:rsidR="005E3F3C" w:rsidRPr="001C5B3B">
        <w:t>e</w:t>
      </w:r>
      <w:r w:rsidR="00A805BE" w:rsidRPr="001C5B3B">
        <w:t xml:space="preserve"> – společnost Fourth Quadrant s.r.o., která sdružuje </w:t>
      </w:r>
      <w:r w:rsidR="00035925" w:rsidRPr="001C5B3B">
        <w:t xml:space="preserve">realitní </w:t>
      </w:r>
      <w:r w:rsidR="00A805BE" w:rsidRPr="001C5B3B">
        <w:t xml:space="preserve">společnosti Penta Real </w:t>
      </w:r>
      <w:proofErr w:type="spellStart"/>
      <w:r w:rsidR="00A805BE" w:rsidRPr="001C5B3B">
        <w:t>Estate</w:t>
      </w:r>
      <w:proofErr w:type="spellEnd"/>
      <w:r w:rsidR="00A805BE" w:rsidRPr="001C5B3B">
        <w:t xml:space="preserve">, Sekyra Group a </w:t>
      </w:r>
      <w:proofErr w:type="spellStart"/>
      <w:r w:rsidR="00A805BE" w:rsidRPr="001C5B3B">
        <w:t>Kaprain</w:t>
      </w:r>
      <w:proofErr w:type="spellEnd"/>
      <w:r w:rsidR="00A805BE" w:rsidRPr="001C5B3B">
        <w:t>.</w:t>
      </w:r>
      <w:r w:rsidR="00B70DEF" w:rsidRPr="001C5B3B">
        <w:t xml:space="preserve"> P</w:t>
      </w:r>
      <w:r w:rsidR="00A805BE" w:rsidRPr="001C5B3B">
        <w:t xml:space="preserve">ři křížení ulice Šolínova a prodloužení Technické ulice je </w:t>
      </w:r>
      <w:r w:rsidR="00B70DEF" w:rsidRPr="001C5B3B">
        <w:t xml:space="preserve">pozemek </w:t>
      </w:r>
      <w:r w:rsidR="00A805BE" w:rsidRPr="001C5B3B">
        <w:t>v majetku Vysoké školy chemicko-technologické</w:t>
      </w:r>
      <w:r w:rsidR="00A53CA0" w:rsidRPr="001C5B3B">
        <w:t xml:space="preserve"> v Praze</w:t>
      </w:r>
      <w:r w:rsidR="00A805BE" w:rsidRPr="001C5B3B">
        <w:t xml:space="preserve">. </w:t>
      </w:r>
    </w:p>
    <w:p w14:paraId="46631AB4" w14:textId="5DBB899E" w:rsidR="00A805BE" w:rsidRPr="001C5B3B" w:rsidRDefault="00A805BE" w:rsidP="00A805BE">
      <w:r w:rsidRPr="001C5B3B">
        <w:t xml:space="preserve">Součástí řešeného území jsou i pozemky ve vlastnictví </w:t>
      </w:r>
      <w:r w:rsidR="00B70DEF" w:rsidRPr="001C5B3B">
        <w:t>h</w:t>
      </w:r>
      <w:r w:rsidRPr="001C5B3B">
        <w:t>lavního města Prahy</w:t>
      </w:r>
      <w:r w:rsidR="00804375" w:rsidRPr="001C5B3B">
        <w:t xml:space="preserve"> – jedná se především o </w:t>
      </w:r>
      <w:r w:rsidR="00780B69" w:rsidRPr="001C5B3B">
        <w:t xml:space="preserve">pozemek v ose </w:t>
      </w:r>
      <w:r w:rsidR="00804375" w:rsidRPr="001C5B3B">
        <w:t>Technické</w:t>
      </w:r>
      <w:r w:rsidR="009924BF" w:rsidRPr="001C5B3B">
        <w:t xml:space="preserve"> </w:t>
      </w:r>
      <w:r w:rsidR="00780B69" w:rsidRPr="001C5B3B">
        <w:t xml:space="preserve">ulice </w:t>
      </w:r>
      <w:r w:rsidR="00804375" w:rsidRPr="001C5B3B">
        <w:t>a pás řešeného území při ulici Evropské.</w:t>
      </w:r>
      <w:r w:rsidRPr="001C5B3B">
        <w:t xml:space="preserve"> </w:t>
      </w:r>
      <w:r w:rsidR="00804375" w:rsidRPr="001C5B3B">
        <w:t>Objekt výstupu z metra v tomto pás</w:t>
      </w:r>
      <w:r w:rsidR="00FC2B45" w:rsidRPr="001C5B3B">
        <w:t>u</w:t>
      </w:r>
      <w:r w:rsidR="00804375" w:rsidRPr="001C5B3B">
        <w:t xml:space="preserve"> je v</w:t>
      </w:r>
      <w:r w:rsidRPr="001C5B3B">
        <w:t> majetku Dopravního podniku hlavního města Prahy a.s.</w:t>
      </w:r>
      <w:r w:rsidR="00804375" w:rsidRPr="001C5B3B">
        <w:t xml:space="preserve"> </w:t>
      </w:r>
      <w:r w:rsidR="00FC2B45" w:rsidRPr="001C5B3B">
        <w:t xml:space="preserve">Dle </w:t>
      </w:r>
      <w:r w:rsidR="00804375" w:rsidRPr="001C5B3B">
        <w:t>dohod s </w:t>
      </w:r>
      <w:r w:rsidR="00780B69" w:rsidRPr="001C5B3B">
        <w:t>h</w:t>
      </w:r>
      <w:r w:rsidR="00804375" w:rsidRPr="001C5B3B">
        <w:t>lavním městem Praha bude</w:t>
      </w:r>
      <w:r w:rsidR="00FC2B45" w:rsidRPr="001C5B3B">
        <w:t xml:space="preserve"> konečné</w:t>
      </w:r>
      <w:r w:rsidR="00804375" w:rsidRPr="001C5B3B">
        <w:t xml:space="preserve"> majetkoprávní vypořádání pozemků řešeno </w:t>
      </w:r>
      <w:r w:rsidR="00636FE2" w:rsidRPr="001C5B3B">
        <w:t>nad návrhem, který vzejde z této soutěže.</w:t>
      </w:r>
    </w:p>
    <w:p w14:paraId="2C3A42D2" w14:textId="1ABBBA90" w:rsidR="006648FF" w:rsidRPr="001C5B3B" w:rsidRDefault="006648FF" w:rsidP="00A805BE">
      <w:pPr>
        <w:rPr>
          <w:i/>
          <w:iCs/>
        </w:rPr>
      </w:pPr>
      <w:r w:rsidRPr="001C5B3B">
        <w:rPr>
          <w:i/>
          <w:iCs/>
        </w:rPr>
        <w:t>Schéma majetkoprávních vztahů</w:t>
      </w:r>
      <w:r w:rsidR="00D9759B" w:rsidRPr="001C5B3B">
        <w:rPr>
          <w:i/>
          <w:iCs/>
        </w:rPr>
        <w:t>, zdroj: ONplan</w:t>
      </w:r>
    </w:p>
    <w:p w14:paraId="73C4D1EC" w14:textId="73049586" w:rsidR="00D91878" w:rsidRPr="001C5B3B" w:rsidRDefault="004D2DC3" w:rsidP="00A805BE">
      <w:r w:rsidRPr="001C5B3B">
        <w:rPr>
          <w:noProof/>
        </w:rPr>
        <w:drawing>
          <wp:inline distT="0" distB="0" distL="0" distR="0" wp14:anchorId="1671D844" wp14:editId="7814F553">
            <wp:extent cx="5760720" cy="4174490"/>
            <wp:effectExtent l="0" t="0" r="508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7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41DF5" w14:textId="77777777" w:rsidR="006648FF" w:rsidRPr="001C5B3B" w:rsidRDefault="006648FF">
      <w:pPr>
        <w:rPr>
          <w:b/>
          <w:sz w:val="48"/>
          <w:szCs w:val="48"/>
        </w:rPr>
      </w:pPr>
      <w:r w:rsidRPr="001C5B3B">
        <w:br w:type="page"/>
      </w:r>
    </w:p>
    <w:p w14:paraId="6C0F5E84" w14:textId="037B976E" w:rsidR="00032A76" w:rsidRPr="001C5B3B" w:rsidRDefault="00D348BE" w:rsidP="000D424E">
      <w:pPr>
        <w:pStyle w:val="Nadpis1"/>
      </w:pPr>
      <w:bookmarkStart w:id="18" w:name="_Toc104908011"/>
      <w:bookmarkStart w:id="19" w:name="_Toc104908120"/>
      <w:bookmarkStart w:id="20" w:name="_Toc104908750"/>
      <w:bookmarkStart w:id="21" w:name="_Toc105688716"/>
      <w:r w:rsidRPr="001C5B3B">
        <w:lastRenderedPageBreak/>
        <w:t>Východiska pro návrh dostavby 4. kvadrantu</w:t>
      </w:r>
      <w:bookmarkEnd w:id="18"/>
      <w:bookmarkEnd w:id="19"/>
      <w:bookmarkEnd w:id="20"/>
      <w:bookmarkEnd w:id="21"/>
    </w:p>
    <w:p w14:paraId="72C2B360" w14:textId="703369E2" w:rsidR="00EB16B5" w:rsidRPr="001C5B3B" w:rsidRDefault="00032A76" w:rsidP="000C26F8">
      <w:r w:rsidRPr="001C5B3B">
        <w:t xml:space="preserve">Urbanistická struktura území </w:t>
      </w:r>
      <w:r w:rsidR="00B70DEF" w:rsidRPr="001C5B3B">
        <w:t xml:space="preserve">Dejvic </w:t>
      </w:r>
      <w:r w:rsidRPr="001C5B3B">
        <w:t xml:space="preserve">byla založena </w:t>
      </w:r>
      <w:proofErr w:type="gramStart"/>
      <w:r w:rsidRPr="001C5B3B">
        <w:t>v</w:t>
      </w:r>
      <w:r w:rsidR="00FB3C7C" w:rsidRPr="001C5B3B">
        <w:t>e</w:t>
      </w:r>
      <w:r w:rsidRPr="001C5B3B">
        <w:t>  20.</w:t>
      </w:r>
      <w:proofErr w:type="gramEnd"/>
      <w:r w:rsidR="00FB3C7C" w:rsidRPr="001C5B3B">
        <w:t xml:space="preserve"> letech minulého</w:t>
      </w:r>
      <w:r w:rsidRPr="001C5B3B">
        <w:t xml:space="preserve"> století podle Engelovy urbanistické </w:t>
      </w:r>
      <w:r w:rsidR="00FC2B45" w:rsidRPr="001C5B3B">
        <w:t>koncepce</w:t>
      </w:r>
      <w:r w:rsidRPr="001C5B3B">
        <w:t>. Dnes je území regulováno platným</w:t>
      </w:r>
      <w:r w:rsidR="000C26F8" w:rsidRPr="001C5B3B">
        <w:t xml:space="preserve"> územním plánem Prahy</w:t>
      </w:r>
      <w:r w:rsidRPr="001C5B3B">
        <w:t>. Východiskem pro soutěž jsou však i</w:t>
      </w:r>
      <w:r w:rsidR="000C26F8" w:rsidRPr="001C5B3B">
        <w:t xml:space="preserve"> </w:t>
      </w:r>
      <w:r w:rsidRPr="001C5B3B">
        <w:t xml:space="preserve">dvě </w:t>
      </w:r>
      <w:r w:rsidR="000C26F8" w:rsidRPr="001C5B3B">
        <w:t>urbanistick</w:t>
      </w:r>
      <w:r w:rsidRPr="001C5B3B">
        <w:t>é</w:t>
      </w:r>
      <w:r w:rsidR="000C26F8" w:rsidRPr="001C5B3B">
        <w:t xml:space="preserve"> koncepce</w:t>
      </w:r>
      <w:r w:rsidRPr="001C5B3B">
        <w:t xml:space="preserve">, které </w:t>
      </w:r>
      <w:proofErr w:type="gramStart"/>
      <w:r w:rsidRPr="001C5B3B">
        <w:t>řeší</w:t>
      </w:r>
      <w:proofErr w:type="gramEnd"/>
      <w:r w:rsidRPr="001C5B3B">
        <w:t xml:space="preserve"> navazující veřejná prostranství.</w:t>
      </w:r>
    </w:p>
    <w:p w14:paraId="17E42752" w14:textId="334C51F6" w:rsidR="000C26F8" w:rsidRPr="001C5B3B" w:rsidRDefault="00032A76" w:rsidP="00D6547E">
      <w:pPr>
        <w:rPr>
          <w:b/>
          <w:bCs/>
        </w:rPr>
      </w:pPr>
      <w:r w:rsidRPr="001C5B3B">
        <w:rPr>
          <w:b/>
          <w:bCs/>
        </w:rPr>
        <w:t>1</w:t>
      </w:r>
      <w:r w:rsidR="000C26F8" w:rsidRPr="001C5B3B">
        <w:rPr>
          <w:b/>
          <w:bCs/>
        </w:rPr>
        <w:t xml:space="preserve">/ Engelova urbanistická koncepce </w:t>
      </w:r>
      <w:r w:rsidR="005E3F3C" w:rsidRPr="001C5B3B">
        <w:rPr>
          <w:b/>
          <w:bCs/>
        </w:rPr>
        <w:t>–</w:t>
      </w:r>
      <w:r w:rsidRPr="001C5B3B">
        <w:rPr>
          <w:b/>
          <w:bCs/>
        </w:rPr>
        <w:t xml:space="preserve"> </w:t>
      </w:r>
      <w:r w:rsidR="000C26F8" w:rsidRPr="001C5B3B">
        <w:rPr>
          <w:b/>
          <w:bCs/>
        </w:rPr>
        <w:t>1924</w:t>
      </w:r>
    </w:p>
    <w:p w14:paraId="192FAC52" w14:textId="11F10869" w:rsidR="00D6547E" w:rsidRPr="001C5B3B" w:rsidRDefault="00D6547E" w:rsidP="00D6547E">
      <w:r w:rsidRPr="001C5B3B">
        <w:t xml:space="preserve">Základním východiskem pro návrh zástavby 4. kvadrantu je Engelova urbanistická koncepce Dejvic z roku 1924. Podle ní byla v 1. polovině 20. století postupně realizována základní struktura veřejných prostranství </w:t>
      </w:r>
      <w:r w:rsidR="00B70DEF" w:rsidRPr="001C5B3B">
        <w:t xml:space="preserve">s centrem na </w:t>
      </w:r>
      <w:r w:rsidRPr="001C5B3B">
        <w:t>Vítězné</w:t>
      </w:r>
      <w:r w:rsidR="00B70DEF" w:rsidRPr="001C5B3B">
        <w:t>m</w:t>
      </w:r>
      <w:r w:rsidRPr="001C5B3B">
        <w:t xml:space="preserve"> náměstí</w:t>
      </w:r>
      <w:r w:rsidR="00B70DEF" w:rsidRPr="001C5B3B">
        <w:t>. Dle Engelova návrhu byly po</w:t>
      </w:r>
      <w:r w:rsidRPr="001C5B3B">
        <w:t>stav</w:t>
      </w:r>
      <w:r w:rsidR="00B70DEF" w:rsidRPr="001C5B3B">
        <w:t>e</w:t>
      </w:r>
      <w:r w:rsidRPr="001C5B3B">
        <w:t xml:space="preserve">ny bloky činžovních domů v pravoúhlé části náměstí, sídlo Generálního štábu Armády ČR a v areálu </w:t>
      </w:r>
      <w:r w:rsidR="00183687" w:rsidRPr="001C5B3B">
        <w:t>k</w:t>
      </w:r>
      <w:r w:rsidRPr="001C5B3B">
        <w:t>ampusu budova dnešní Vysoké školy chemicko</w:t>
      </w:r>
      <w:r w:rsidR="005E3F3C" w:rsidRPr="001C5B3B">
        <w:t>-</w:t>
      </w:r>
      <w:r w:rsidRPr="001C5B3B">
        <w:t xml:space="preserve">technologické a Kloknerův ústav. V druhé polovině 20. století byla urbanistická struktura </w:t>
      </w:r>
      <w:r w:rsidR="00B70DEF" w:rsidRPr="001C5B3B">
        <w:t xml:space="preserve">postupně </w:t>
      </w:r>
      <w:r w:rsidRPr="001C5B3B">
        <w:t>doplňována novými objekty.</w:t>
      </w:r>
    </w:p>
    <w:p w14:paraId="76172C0A" w14:textId="79678D72" w:rsidR="00032A76" w:rsidRPr="001C5B3B" w:rsidRDefault="00B34F2E" w:rsidP="00032A76">
      <w:pPr>
        <w:rPr>
          <w:b/>
          <w:bCs/>
        </w:rPr>
      </w:pPr>
      <w:r w:rsidRPr="001C5B3B">
        <w:rPr>
          <w:b/>
          <w:bCs/>
        </w:rPr>
        <w:t>2</w:t>
      </w:r>
      <w:r w:rsidR="00032A76" w:rsidRPr="001C5B3B">
        <w:rPr>
          <w:b/>
          <w:bCs/>
        </w:rPr>
        <w:t>/ Územní plán sídelního útvaru hlavního města Prahy – 1999</w:t>
      </w:r>
    </w:p>
    <w:p w14:paraId="720177A3" w14:textId="49CC1312" w:rsidR="00032A76" w:rsidRPr="001C5B3B" w:rsidRDefault="00032A76" w:rsidP="00032A76">
      <w:r w:rsidRPr="001C5B3B">
        <w:t xml:space="preserve">Engelova urbanistická koncepce je zakotvena i v platném územním plánu, který stanovuje základní limity pro zástavbu 4. kvadrantu. Podle něj je řešené území součástí plochy s rozdílným způsobem využití SMJ – smíšené městského jádra a tzv. plovoucí značkou ZVS </w:t>
      </w:r>
      <w:r w:rsidR="005E3F3C" w:rsidRPr="001C5B3B">
        <w:t>–</w:t>
      </w:r>
      <w:r w:rsidRPr="001C5B3B">
        <w:t xml:space="preserve"> zvláštní komplexy občanského vybavení, vysokoškolské. </w:t>
      </w:r>
    </w:p>
    <w:p w14:paraId="05C536A3" w14:textId="600B3AC3" w:rsidR="000C26F8" w:rsidRPr="001C5B3B" w:rsidRDefault="00636FE2" w:rsidP="00D6547E">
      <w:pPr>
        <w:rPr>
          <w:b/>
          <w:bCs/>
        </w:rPr>
      </w:pPr>
      <w:r w:rsidRPr="001C5B3B">
        <w:rPr>
          <w:b/>
          <w:bCs/>
        </w:rPr>
        <w:t>3</w:t>
      </w:r>
      <w:r w:rsidR="000C26F8" w:rsidRPr="001C5B3B">
        <w:rPr>
          <w:b/>
          <w:bCs/>
        </w:rPr>
        <w:t xml:space="preserve">/ Koncepční studie </w:t>
      </w:r>
      <w:r w:rsidR="00183687" w:rsidRPr="001C5B3B">
        <w:rPr>
          <w:b/>
          <w:bCs/>
        </w:rPr>
        <w:t>V</w:t>
      </w:r>
      <w:r w:rsidR="000C26F8" w:rsidRPr="001C5B3B">
        <w:rPr>
          <w:b/>
          <w:bCs/>
        </w:rPr>
        <w:t xml:space="preserve">ítězné náměstí </w:t>
      </w:r>
      <w:r w:rsidR="005E3F3C" w:rsidRPr="001C5B3B">
        <w:rPr>
          <w:b/>
          <w:bCs/>
        </w:rPr>
        <w:t>–</w:t>
      </w:r>
      <w:r w:rsidRPr="001C5B3B">
        <w:rPr>
          <w:b/>
          <w:bCs/>
        </w:rPr>
        <w:t xml:space="preserve"> </w:t>
      </w:r>
      <w:r w:rsidR="000C26F8" w:rsidRPr="001C5B3B">
        <w:rPr>
          <w:b/>
          <w:bCs/>
        </w:rPr>
        <w:t>2020</w:t>
      </w:r>
    </w:p>
    <w:p w14:paraId="670762FA" w14:textId="52CEE52B" w:rsidR="00D6547E" w:rsidRPr="001C5B3B" w:rsidRDefault="00D6547E" w:rsidP="00D6547E">
      <w:r w:rsidRPr="001C5B3B">
        <w:t xml:space="preserve">V roce 2018 byla Institutem plánování a rozvoje hlavního města Prahy pořádána mezinárodní </w:t>
      </w:r>
      <w:proofErr w:type="spellStart"/>
      <w:proofErr w:type="gramStart"/>
      <w:r w:rsidRPr="001C5B3B">
        <w:t>urbanisticko</w:t>
      </w:r>
      <w:proofErr w:type="spellEnd"/>
      <w:r w:rsidRPr="001C5B3B">
        <w:t>–architektonická</w:t>
      </w:r>
      <w:proofErr w:type="gramEnd"/>
      <w:r w:rsidRPr="001C5B3B">
        <w:t xml:space="preserve"> soutěž o návrh na celkové řešení Vítězného náměstí. Předmětem soutěže bylo zpracování řešení prostoru Vítězného náměstí se všemi urbanistickými a dopravními vazbami v dané lokalitě a vytvoření veřejného prostranství reprezentativního a pobytového charakteru. Zvítězil soutěžní návrh studia Pavel Hnilička </w:t>
      </w:r>
      <w:proofErr w:type="spellStart"/>
      <w:r w:rsidRPr="001C5B3B">
        <w:t>Architects</w:t>
      </w:r>
      <w:proofErr w:type="spellEnd"/>
      <w:r w:rsidRPr="001C5B3B">
        <w:t xml:space="preserve"> and </w:t>
      </w:r>
      <w:proofErr w:type="spellStart"/>
      <w:r w:rsidRPr="001C5B3B">
        <w:t>Planners</w:t>
      </w:r>
      <w:proofErr w:type="spellEnd"/>
      <w:r w:rsidRPr="001C5B3B">
        <w:t>, který v roce 2020 dopracoval soutěžní návrhu do podoby koncepční studie</w:t>
      </w:r>
      <w:r w:rsidR="000C26F8" w:rsidRPr="001C5B3B">
        <w:t>.</w:t>
      </w:r>
    </w:p>
    <w:p w14:paraId="5737B700" w14:textId="3978270E" w:rsidR="00B21414" w:rsidRPr="001C5B3B" w:rsidRDefault="00636FE2" w:rsidP="00FE098D">
      <w:pPr>
        <w:rPr>
          <w:b/>
          <w:bCs/>
        </w:rPr>
      </w:pPr>
      <w:r w:rsidRPr="001C5B3B">
        <w:rPr>
          <w:b/>
          <w:bCs/>
        </w:rPr>
        <w:t>4</w:t>
      </w:r>
      <w:r w:rsidR="000C26F8" w:rsidRPr="001C5B3B">
        <w:rPr>
          <w:b/>
          <w:bCs/>
        </w:rPr>
        <w:t xml:space="preserve">/ </w:t>
      </w:r>
      <w:r w:rsidR="00183687" w:rsidRPr="001C5B3B">
        <w:rPr>
          <w:b/>
          <w:bCs/>
        </w:rPr>
        <w:t xml:space="preserve">Budoucnost Kampusu Dejvice, Koncepce revitalizace veřejného prostoru </w:t>
      </w:r>
      <w:r w:rsidR="005E3F3C" w:rsidRPr="001C5B3B">
        <w:rPr>
          <w:b/>
          <w:bCs/>
        </w:rPr>
        <w:t>–</w:t>
      </w:r>
      <w:r w:rsidRPr="001C5B3B">
        <w:rPr>
          <w:b/>
          <w:bCs/>
        </w:rPr>
        <w:t xml:space="preserve"> 2021</w:t>
      </w:r>
    </w:p>
    <w:p w14:paraId="60233C77" w14:textId="178F18E7" w:rsidR="001D18C4" w:rsidRPr="001C5B3B" w:rsidRDefault="001D18C4" w:rsidP="001D18C4">
      <w:r w:rsidRPr="001C5B3B">
        <w:t xml:space="preserve">V roce 2020 zpracoval ateliér MCA pro IPR Praha </w:t>
      </w:r>
      <w:r w:rsidR="00183687" w:rsidRPr="001C5B3B">
        <w:t>k</w:t>
      </w:r>
      <w:r w:rsidRPr="001C5B3B">
        <w:t>oncep</w:t>
      </w:r>
      <w:r w:rsidR="00183687" w:rsidRPr="001C5B3B">
        <w:t>ci veřejných prostran</w:t>
      </w:r>
      <w:r w:rsidR="0031396F" w:rsidRPr="001C5B3B">
        <w:t>s</w:t>
      </w:r>
      <w:r w:rsidR="00183687" w:rsidRPr="001C5B3B">
        <w:t>tví</w:t>
      </w:r>
      <w:r w:rsidRPr="001C5B3B">
        <w:t xml:space="preserve"> Kampus</w:t>
      </w:r>
      <w:r w:rsidR="00183687" w:rsidRPr="001C5B3B">
        <w:t>u</w:t>
      </w:r>
      <w:r w:rsidRPr="001C5B3B">
        <w:t xml:space="preserve"> Dejvice. Studie se věnuje celkové revitalizaci veřejných prostranství ve vysokoškolském areálu, která by měla získat na atraktivitě nejen pro studenty, ale také pro občany, kteří sem chodí relaxovat. </w:t>
      </w:r>
    </w:p>
    <w:p w14:paraId="6230A378" w14:textId="77777777" w:rsidR="00E10029" w:rsidRPr="001C5B3B" w:rsidRDefault="00E10029">
      <w:pPr>
        <w:rPr>
          <w:rFonts w:ascii="Arial Black" w:eastAsia="Arial Black" w:hAnsi="Arial Black" w:cs="Arial Black"/>
          <w:b/>
          <w:sz w:val="24"/>
          <w:szCs w:val="24"/>
        </w:rPr>
      </w:pPr>
    </w:p>
    <w:p w14:paraId="2179BB9B" w14:textId="77777777" w:rsidR="00CA35A5" w:rsidRPr="001C5B3B" w:rsidRDefault="00CA35A5">
      <w:pPr>
        <w:rPr>
          <w:rFonts w:ascii="Arial Black" w:eastAsia="Arial Black" w:hAnsi="Arial Black" w:cs="Arial Black"/>
          <w:b/>
          <w:sz w:val="24"/>
          <w:szCs w:val="24"/>
        </w:rPr>
      </w:pPr>
    </w:p>
    <w:p w14:paraId="7BEE7B52" w14:textId="77777777" w:rsidR="00CA35A5" w:rsidRPr="001C5B3B" w:rsidRDefault="00CA35A5">
      <w:pPr>
        <w:rPr>
          <w:rFonts w:ascii="Arial Black" w:eastAsia="Arial Black" w:hAnsi="Arial Black" w:cs="Arial Black"/>
          <w:b/>
          <w:sz w:val="24"/>
          <w:szCs w:val="24"/>
        </w:rPr>
      </w:pPr>
    </w:p>
    <w:p w14:paraId="59D867EA" w14:textId="77777777" w:rsidR="00CA35A5" w:rsidRPr="001C5B3B" w:rsidRDefault="00CA35A5">
      <w:pPr>
        <w:rPr>
          <w:rFonts w:ascii="Arial Black" w:eastAsia="Arial Black" w:hAnsi="Arial Black" w:cs="Arial Black"/>
          <w:b/>
          <w:sz w:val="24"/>
          <w:szCs w:val="24"/>
        </w:rPr>
      </w:pPr>
    </w:p>
    <w:p w14:paraId="4105CED7" w14:textId="77777777" w:rsidR="00CA35A5" w:rsidRPr="001C5B3B" w:rsidRDefault="00CA35A5">
      <w:pPr>
        <w:rPr>
          <w:rFonts w:ascii="Arial Black" w:eastAsia="Arial Black" w:hAnsi="Arial Black" w:cs="Arial Black"/>
          <w:b/>
          <w:sz w:val="24"/>
          <w:szCs w:val="24"/>
        </w:rPr>
      </w:pPr>
    </w:p>
    <w:p w14:paraId="32876E6D" w14:textId="77777777" w:rsidR="00CA35A5" w:rsidRPr="001C5B3B" w:rsidRDefault="00CA35A5">
      <w:pPr>
        <w:rPr>
          <w:rFonts w:ascii="Arial Black" w:eastAsia="Arial Black" w:hAnsi="Arial Black" w:cs="Arial Black"/>
          <w:b/>
          <w:sz w:val="24"/>
          <w:szCs w:val="24"/>
        </w:rPr>
      </w:pPr>
      <w:r w:rsidRPr="001C5B3B">
        <w:rPr>
          <w:rFonts w:ascii="Arial Black" w:eastAsia="Arial Black" w:hAnsi="Arial Black" w:cs="Arial Black"/>
          <w:b/>
          <w:sz w:val="24"/>
          <w:szCs w:val="24"/>
        </w:rPr>
        <w:br w:type="page"/>
      </w:r>
    </w:p>
    <w:p w14:paraId="01434DA3" w14:textId="57C38196" w:rsidR="00CA35A5" w:rsidRPr="001C5B3B" w:rsidRDefault="00D348BE" w:rsidP="000D424E">
      <w:pPr>
        <w:pStyle w:val="Nadpis1"/>
      </w:pPr>
      <w:bookmarkStart w:id="22" w:name="_Toc104908012"/>
      <w:bookmarkStart w:id="23" w:name="_Toc104908121"/>
      <w:bookmarkStart w:id="24" w:name="_Toc104908751"/>
      <w:bookmarkStart w:id="25" w:name="_Toc105688717"/>
      <w:r w:rsidRPr="001C5B3B">
        <w:lastRenderedPageBreak/>
        <w:t>Témata k řešení</w:t>
      </w:r>
      <w:bookmarkEnd w:id="22"/>
      <w:bookmarkEnd w:id="23"/>
      <w:bookmarkEnd w:id="24"/>
      <w:bookmarkEnd w:id="25"/>
      <w:r w:rsidR="00DC41F4" w:rsidRPr="001C5B3B">
        <w:t xml:space="preserve"> </w:t>
      </w:r>
    </w:p>
    <w:p w14:paraId="0000000B" w14:textId="37320CDD" w:rsidR="00FD53A5" w:rsidRPr="001C5B3B" w:rsidRDefault="00D348BE" w:rsidP="000D424E">
      <w:pPr>
        <w:pStyle w:val="Nadpis2"/>
      </w:pPr>
      <w:bookmarkStart w:id="26" w:name="_Toc104908013"/>
      <w:bookmarkStart w:id="27" w:name="_Toc104908122"/>
      <w:bookmarkStart w:id="28" w:name="_Toc104908752"/>
      <w:bookmarkStart w:id="29" w:name="_Toc104909322"/>
      <w:bookmarkStart w:id="30" w:name="_Toc105688718"/>
      <w:r w:rsidRPr="001C5B3B">
        <w:t>Využití území</w:t>
      </w:r>
      <w:bookmarkEnd w:id="26"/>
      <w:bookmarkEnd w:id="27"/>
      <w:bookmarkEnd w:id="28"/>
      <w:bookmarkEnd w:id="29"/>
      <w:bookmarkEnd w:id="30"/>
    </w:p>
    <w:p w14:paraId="57D1034D" w14:textId="1AD4B28D" w:rsidR="00550A9F" w:rsidRPr="001C5B3B" w:rsidRDefault="00FB1940" w:rsidP="000954C6">
      <w:r w:rsidRPr="001C5B3B">
        <w:t>Investoři, městská část Praha 6 a hlavní město Praha si uvědomují význam území 4.</w:t>
      </w:r>
      <w:r w:rsidR="00550A9F" w:rsidRPr="001C5B3B">
        <w:t> </w:t>
      </w:r>
      <w:r w:rsidRPr="001C5B3B">
        <w:t>kvadrantu jako místa, které je branou a rozmezím mezi akademickým světem poznání a</w:t>
      </w:r>
      <w:r w:rsidR="00A90FF6" w:rsidRPr="001C5B3B">
        <w:t> </w:t>
      </w:r>
      <w:r w:rsidR="00C819E6" w:rsidRPr="001C5B3B">
        <w:t xml:space="preserve">společenským centrem Dejvic a potažmo i celé Prahy 6. </w:t>
      </w:r>
    </w:p>
    <w:p w14:paraId="5D31C805" w14:textId="4B8C0632" w:rsidR="00550A9F" w:rsidRPr="001C5B3B" w:rsidRDefault="00C819E6" w:rsidP="000954C6">
      <w:r w:rsidRPr="001C5B3B">
        <w:t>Cílem je místo nejen urbanisticky dotvořit, ale vystavět objekty, které budou novou destinací pro Pražany a návštěvníky hlavního města</w:t>
      </w:r>
      <w:r w:rsidR="00550A9F" w:rsidRPr="001C5B3B">
        <w:t>. Nový 4. kvadrant bude důvodem, proč Vítězné náměstí navštívit.</w:t>
      </w:r>
      <w:r w:rsidRPr="001C5B3B">
        <w:t xml:space="preserve"> </w:t>
      </w:r>
      <w:r w:rsidR="00550A9F" w:rsidRPr="001C5B3B">
        <w:t>Měl by</w:t>
      </w:r>
      <w:r w:rsidRPr="001C5B3B">
        <w:t xml:space="preserve"> přin</w:t>
      </w:r>
      <w:r w:rsidR="00550A9F" w:rsidRPr="001C5B3B">
        <w:t>ést</w:t>
      </w:r>
      <w:r w:rsidRPr="001C5B3B">
        <w:t xml:space="preserve"> zážitky spojené s autentickým komunitním</w:t>
      </w:r>
      <w:r w:rsidR="00A90FF6" w:rsidRPr="001C5B3B">
        <w:t>, kulturním</w:t>
      </w:r>
      <w:r w:rsidRPr="001C5B3B">
        <w:t xml:space="preserve"> a společenským životem, </w:t>
      </w:r>
      <w:r w:rsidR="00550A9F" w:rsidRPr="001C5B3B">
        <w:t xml:space="preserve">vytvořit </w:t>
      </w:r>
      <w:r w:rsidRPr="001C5B3B">
        <w:t xml:space="preserve">nové možnosti pro vznik vysoce kvalifikovaných pracovních míst a </w:t>
      </w:r>
      <w:r w:rsidR="00550A9F" w:rsidRPr="001C5B3B">
        <w:t xml:space="preserve">pro </w:t>
      </w:r>
      <w:r w:rsidRPr="001C5B3B">
        <w:t>propojení podnikání</w:t>
      </w:r>
      <w:r w:rsidR="00A90FF6" w:rsidRPr="001C5B3B">
        <w:t xml:space="preserve"> s</w:t>
      </w:r>
      <w:r w:rsidRPr="001C5B3B">
        <w:t xml:space="preserve"> věd</w:t>
      </w:r>
      <w:r w:rsidR="00A90FF6" w:rsidRPr="001C5B3B">
        <w:t>ou</w:t>
      </w:r>
      <w:r w:rsidRPr="001C5B3B">
        <w:t xml:space="preserve"> a výzkum</w:t>
      </w:r>
      <w:r w:rsidR="00A90FF6" w:rsidRPr="001C5B3B">
        <w:t>em</w:t>
      </w:r>
      <w:r w:rsidRPr="001C5B3B">
        <w:t xml:space="preserve"> světové úrovně. </w:t>
      </w:r>
    </w:p>
    <w:p w14:paraId="1E102C07" w14:textId="669473E9" w:rsidR="00FB1940" w:rsidRPr="001C5B3B" w:rsidRDefault="00550A9F" w:rsidP="000954C6">
      <w:r w:rsidRPr="001C5B3B">
        <w:t xml:space="preserve">Důležitým úkolem bude navrhnout synergie mezi veřejnými a soukromými funkcemi a vytvářet nové hodnoty pro všechny typy uživatelů území a residentů. </w:t>
      </w:r>
    </w:p>
    <w:p w14:paraId="4F9576F9" w14:textId="68767860" w:rsidR="00FC3793" w:rsidRPr="001C5B3B" w:rsidRDefault="00FC3793" w:rsidP="000954C6">
      <w:r w:rsidRPr="001C5B3B">
        <w:t xml:space="preserve">Úkolem soutěžících je navrhnout dostavbu severozápadního kvadrantu Vítězného náměstí jako jeden </w:t>
      </w:r>
      <w:r w:rsidR="00550A9F" w:rsidRPr="001C5B3B">
        <w:t xml:space="preserve">funkčně provázaný </w:t>
      </w:r>
      <w:r w:rsidRPr="001C5B3B">
        <w:t>harmonický celek, při tom však respektovat a skloubit požadavky Fo</w:t>
      </w:r>
      <w:r w:rsidR="00BE6B34" w:rsidRPr="001C5B3B">
        <w:t>u</w:t>
      </w:r>
      <w:r w:rsidRPr="001C5B3B">
        <w:t>rth Quadrant a VŠCHT</w:t>
      </w:r>
      <w:r w:rsidR="00A34BE3" w:rsidRPr="001C5B3B">
        <w:t xml:space="preserve"> tak</w:t>
      </w:r>
      <w:r w:rsidR="00BE6B34" w:rsidRPr="001C5B3B">
        <w:t>,</w:t>
      </w:r>
      <w:r w:rsidR="00A34BE3" w:rsidRPr="001C5B3B">
        <w:t xml:space="preserve"> jak jsou definovány v zadání a stavebních programech.</w:t>
      </w:r>
      <w:r w:rsidR="00C73C92" w:rsidRPr="001C5B3B">
        <w:t xml:space="preserve"> Návrhy </w:t>
      </w:r>
      <w:r w:rsidR="00550A9F" w:rsidRPr="001C5B3B">
        <w:t xml:space="preserve">zároveň musí </w:t>
      </w:r>
      <w:r w:rsidR="00C73C92" w:rsidRPr="001C5B3B">
        <w:t xml:space="preserve">respektovat </w:t>
      </w:r>
      <w:r w:rsidR="00BC05C3" w:rsidRPr="001C5B3B">
        <w:t xml:space="preserve">regulativy </w:t>
      </w:r>
      <w:r w:rsidR="00C73C92" w:rsidRPr="001C5B3B">
        <w:t>nastavené v územním plánu.</w:t>
      </w:r>
    </w:p>
    <w:p w14:paraId="61931528" w14:textId="74218479" w:rsidR="000954C6" w:rsidRPr="001C5B3B" w:rsidRDefault="000954C6" w:rsidP="000D424E">
      <w:pPr>
        <w:pStyle w:val="Nadpis3"/>
      </w:pPr>
      <w:r w:rsidRPr="001C5B3B">
        <w:t>Úkoly k řešení:</w:t>
      </w:r>
    </w:p>
    <w:p w14:paraId="06CCDF7F" w14:textId="2C606425" w:rsidR="00724ECC" w:rsidRPr="001C5B3B" w:rsidRDefault="00724ECC" w:rsidP="00E32C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1C5B3B">
        <w:t xml:space="preserve">V maximální možné míře využijte, avšak nepřekročte v územním plánu stanovenou maximální výměru hrubých podlažních ploch (HPP) </w:t>
      </w:r>
      <w:r w:rsidR="005E3F3C" w:rsidRPr="001C5B3B">
        <w:t>–</w:t>
      </w:r>
      <w:r w:rsidRPr="001C5B3B">
        <w:t xml:space="preserve"> 102 6</w:t>
      </w:r>
      <w:r w:rsidR="00123910" w:rsidRPr="001C5B3B">
        <w:t>36</w:t>
      </w:r>
      <w:r w:rsidRPr="001C5B3B">
        <w:t xml:space="preserve"> m</w:t>
      </w:r>
      <w:r w:rsidRPr="001C5B3B">
        <w:rPr>
          <w:vertAlign w:val="superscript"/>
        </w:rPr>
        <w:t>2</w:t>
      </w:r>
      <w:r w:rsidR="00C73C92" w:rsidRPr="001C5B3B">
        <w:t>,</w:t>
      </w:r>
      <w:r w:rsidRPr="001C5B3B">
        <w:rPr>
          <w:vertAlign w:val="superscript"/>
        </w:rPr>
        <w:t xml:space="preserve"> </w:t>
      </w:r>
      <w:r w:rsidRPr="001C5B3B">
        <w:t>v poměru 89 936 m</w:t>
      </w:r>
      <w:r w:rsidRPr="001C5B3B">
        <w:rPr>
          <w:vertAlign w:val="superscript"/>
        </w:rPr>
        <w:t>2</w:t>
      </w:r>
      <w:r w:rsidRPr="001C5B3B">
        <w:t xml:space="preserve"> pro Fourth Quadrant a 12 700 m</w:t>
      </w:r>
      <w:r w:rsidRPr="001C5B3B">
        <w:rPr>
          <w:vertAlign w:val="superscript"/>
        </w:rPr>
        <w:t>2</w:t>
      </w:r>
      <w:r w:rsidRPr="001C5B3B">
        <w:t xml:space="preserve"> pro VŠCHT</w:t>
      </w:r>
      <w:r w:rsidR="00410E14" w:rsidRPr="001C5B3B">
        <w:t xml:space="preserve">. </w:t>
      </w:r>
    </w:p>
    <w:p w14:paraId="08C0B3F8" w14:textId="0D7FFD42" w:rsidR="002B5CBC" w:rsidRPr="001C5B3B" w:rsidRDefault="000E1D0C" w:rsidP="000E1D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1C5B3B">
        <w:t>Navrhněte polyfunkční objekty pro občanskou vybavenost (obchody, služby, restaurace, kulturu), kanceláře a bydlení. N</w:t>
      </w:r>
      <w:r w:rsidR="002B5CBC" w:rsidRPr="001C5B3B">
        <w:t xml:space="preserve">avrhněte optimální uspořádání funkcí v rámci dostavby </w:t>
      </w:r>
      <w:r w:rsidR="00783342" w:rsidRPr="001C5B3B">
        <w:t>4</w:t>
      </w:r>
      <w:r w:rsidR="002B5CBC" w:rsidRPr="001C5B3B">
        <w:t>.</w:t>
      </w:r>
      <w:r w:rsidR="006A03D0" w:rsidRPr="001C5B3B">
        <w:t> </w:t>
      </w:r>
      <w:r w:rsidR="002B5CBC" w:rsidRPr="001C5B3B">
        <w:t xml:space="preserve">kvadrantu v tomto rozmezí: 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2694"/>
        <w:gridCol w:w="2835"/>
      </w:tblGrid>
      <w:tr w:rsidR="001C5B3B" w:rsidRPr="001C5B3B" w14:paraId="7B94FCC5" w14:textId="77777777" w:rsidTr="0030303D">
        <w:trPr>
          <w:trHeight w:val="64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C4E278" w14:textId="25D3C55D" w:rsidR="002B5CBC" w:rsidRPr="001C5B3B" w:rsidRDefault="0030303D" w:rsidP="0030303D">
            <w:pPr>
              <w:spacing w:before="0" w:after="0"/>
              <w:rPr>
                <w:rFonts w:ascii="Calibri" w:eastAsia="Times New Roman" w:hAnsi="Calibri" w:cs="Calibri"/>
                <w:b/>
                <w:bCs/>
              </w:rPr>
            </w:pPr>
            <w:r w:rsidRPr="001C5B3B">
              <w:rPr>
                <w:rFonts w:ascii="Calibri" w:eastAsia="Times New Roman" w:hAnsi="Calibri" w:cs="Calibri"/>
                <w:b/>
                <w:bCs/>
              </w:rPr>
              <w:t>F</w:t>
            </w:r>
            <w:r w:rsidR="002B5CBC" w:rsidRPr="001C5B3B">
              <w:rPr>
                <w:rFonts w:ascii="Calibri" w:eastAsia="Times New Roman" w:hAnsi="Calibri" w:cs="Calibri"/>
                <w:b/>
                <w:bCs/>
              </w:rPr>
              <w:t>unkce využití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310A56" w14:textId="4AA10CE5" w:rsidR="002B5CBC" w:rsidRPr="001C5B3B" w:rsidRDefault="002B5CBC" w:rsidP="0030303D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C5B3B">
              <w:rPr>
                <w:rFonts w:ascii="Calibri" w:eastAsia="Times New Roman" w:hAnsi="Calibri" w:cs="Calibri"/>
                <w:b/>
                <w:bCs/>
              </w:rPr>
              <w:t>min % pro funkci</w:t>
            </w:r>
            <w:r w:rsidR="00783342" w:rsidRPr="001C5B3B">
              <w:rPr>
                <w:rFonts w:ascii="Calibri" w:eastAsia="Times New Roman" w:hAnsi="Calibri" w:cs="Calibri"/>
                <w:b/>
                <w:bCs/>
              </w:rPr>
              <w:t xml:space="preserve"> v celém území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663891" w14:textId="2F588412" w:rsidR="002B5CBC" w:rsidRPr="001C5B3B" w:rsidRDefault="002B5CBC" w:rsidP="0030303D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C5B3B">
              <w:rPr>
                <w:rFonts w:ascii="Calibri" w:eastAsia="Times New Roman" w:hAnsi="Calibri" w:cs="Calibri"/>
                <w:b/>
                <w:bCs/>
              </w:rPr>
              <w:t>max % pro funkci</w:t>
            </w:r>
            <w:r w:rsidR="00783342" w:rsidRPr="001C5B3B">
              <w:rPr>
                <w:rFonts w:ascii="Calibri" w:eastAsia="Times New Roman" w:hAnsi="Calibri" w:cs="Calibri"/>
                <w:b/>
                <w:bCs/>
              </w:rPr>
              <w:t xml:space="preserve"> v celé</w:t>
            </w:r>
            <w:r w:rsidR="008838E8" w:rsidRPr="001C5B3B">
              <w:rPr>
                <w:rFonts w:ascii="Calibri" w:eastAsia="Times New Roman" w:hAnsi="Calibri" w:cs="Calibri"/>
                <w:b/>
                <w:bCs/>
              </w:rPr>
              <w:t>m</w:t>
            </w:r>
            <w:r w:rsidR="00783342" w:rsidRPr="001C5B3B">
              <w:rPr>
                <w:rFonts w:ascii="Calibri" w:eastAsia="Times New Roman" w:hAnsi="Calibri" w:cs="Calibri"/>
                <w:b/>
                <w:bCs/>
              </w:rPr>
              <w:t xml:space="preserve"> území</w:t>
            </w:r>
          </w:p>
        </w:tc>
      </w:tr>
      <w:tr w:rsidR="001C5B3B" w:rsidRPr="001C5B3B" w14:paraId="2F2F7B6D" w14:textId="77777777" w:rsidTr="0030303D">
        <w:trPr>
          <w:trHeight w:val="45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B21990" w14:textId="77777777" w:rsidR="002B5CBC" w:rsidRPr="001C5B3B" w:rsidRDefault="002B5CBC" w:rsidP="0030303D">
            <w:pPr>
              <w:spacing w:before="0" w:after="0"/>
              <w:rPr>
                <w:rFonts w:ascii="Calibri" w:eastAsia="Times New Roman" w:hAnsi="Calibri" w:cs="Calibri"/>
                <w:b/>
                <w:bCs/>
              </w:rPr>
            </w:pPr>
            <w:r w:rsidRPr="001C5B3B">
              <w:rPr>
                <w:rFonts w:ascii="Calibri" w:eastAsia="Times New Roman" w:hAnsi="Calibri" w:cs="Calibri"/>
                <w:b/>
                <w:bCs/>
              </w:rPr>
              <w:t>VŠCHT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8B76DD" w14:textId="66442164" w:rsidR="002B5CBC" w:rsidRPr="001C5B3B" w:rsidRDefault="002B5CBC" w:rsidP="0030303D">
            <w:pPr>
              <w:spacing w:before="0" w:after="0"/>
              <w:jc w:val="center"/>
              <w:rPr>
                <w:rFonts w:ascii="Calibri" w:eastAsia="Times New Roman" w:hAnsi="Calibri" w:cs="Calibri"/>
              </w:rPr>
            </w:pPr>
            <w:r w:rsidRPr="001C5B3B">
              <w:rPr>
                <w:rFonts w:ascii="Calibri" w:eastAsia="Times New Roman" w:hAnsi="Calibri" w:cs="Calibri"/>
              </w:rPr>
              <w:t>1</w:t>
            </w:r>
            <w:r w:rsidR="0030303D" w:rsidRPr="001C5B3B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5BD60E" w14:textId="6B9F7B05" w:rsidR="002B5CBC" w:rsidRPr="001C5B3B" w:rsidRDefault="002B5CBC" w:rsidP="0030303D">
            <w:pPr>
              <w:spacing w:before="0" w:after="0"/>
              <w:jc w:val="center"/>
              <w:rPr>
                <w:rFonts w:ascii="Calibri" w:eastAsia="Times New Roman" w:hAnsi="Calibri" w:cs="Calibri"/>
              </w:rPr>
            </w:pPr>
            <w:r w:rsidRPr="001C5B3B">
              <w:rPr>
                <w:rFonts w:ascii="Calibri" w:eastAsia="Times New Roman" w:hAnsi="Calibri" w:cs="Calibri"/>
              </w:rPr>
              <w:t>12</w:t>
            </w:r>
          </w:p>
        </w:tc>
      </w:tr>
      <w:tr w:rsidR="001C5B3B" w:rsidRPr="001C5B3B" w14:paraId="25FA6DBA" w14:textId="77777777" w:rsidTr="0030303D">
        <w:trPr>
          <w:trHeight w:val="45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9EE21C" w14:textId="420882B5" w:rsidR="002B5CBC" w:rsidRPr="001C5B3B" w:rsidRDefault="0030303D" w:rsidP="0030303D">
            <w:pPr>
              <w:spacing w:before="0" w:after="0"/>
              <w:rPr>
                <w:rFonts w:ascii="Calibri" w:eastAsia="Times New Roman" w:hAnsi="Calibri" w:cs="Calibri"/>
                <w:b/>
                <w:bCs/>
              </w:rPr>
            </w:pPr>
            <w:r w:rsidRPr="001C5B3B">
              <w:rPr>
                <w:rFonts w:ascii="Calibri" w:eastAsia="Times New Roman" w:hAnsi="Calibri" w:cs="Calibri"/>
                <w:b/>
                <w:bCs/>
              </w:rPr>
              <w:t>o</w:t>
            </w:r>
            <w:r w:rsidR="002B5CBC" w:rsidRPr="001C5B3B">
              <w:rPr>
                <w:rFonts w:ascii="Calibri" w:eastAsia="Times New Roman" w:hAnsi="Calibri" w:cs="Calibri"/>
                <w:b/>
                <w:bCs/>
              </w:rPr>
              <w:t>bchod, služby, restaurace</w:t>
            </w:r>
            <w:r w:rsidR="000E1D0C" w:rsidRPr="001C5B3B">
              <w:rPr>
                <w:rFonts w:ascii="Calibri" w:eastAsia="Times New Roman" w:hAnsi="Calibri" w:cs="Calibri"/>
                <w:b/>
                <w:bCs/>
              </w:rPr>
              <w:t>, kultura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551A06" w14:textId="5C27798D" w:rsidR="002B5CBC" w:rsidRPr="001C5B3B" w:rsidRDefault="002B5CBC" w:rsidP="0030303D">
            <w:pPr>
              <w:spacing w:before="0" w:after="0"/>
              <w:jc w:val="center"/>
              <w:rPr>
                <w:rFonts w:ascii="Calibri" w:eastAsia="Times New Roman" w:hAnsi="Calibri" w:cs="Calibri"/>
              </w:rPr>
            </w:pPr>
            <w:r w:rsidRPr="001C5B3B">
              <w:rPr>
                <w:rFonts w:ascii="Calibri" w:eastAsia="Times New Roman" w:hAnsi="Calibri" w:cs="Calibri"/>
              </w:rPr>
              <w:t>1</w:t>
            </w:r>
            <w:r w:rsidR="0069707C" w:rsidRPr="001C5B3B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D42774" w14:textId="716F08DC" w:rsidR="002B5CBC" w:rsidRPr="001C5B3B" w:rsidRDefault="002B5CBC" w:rsidP="0030303D">
            <w:pPr>
              <w:spacing w:before="0" w:after="0"/>
              <w:jc w:val="center"/>
              <w:rPr>
                <w:rFonts w:ascii="Calibri" w:eastAsia="Times New Roman" w:hAnsi="Calibri" w:cs="Calibri"/>
              </w:rPr>
            </w:pPr>
            <w:r w:rsidRPr="001C5B3B">
              <w:rPr>
                <w:rFonts w:ascii="Calibri" w:eastAsia="Times New Roman" w:hAnsi="Calibri" w:cs="Calibri"/>
              </w:rPr>
              <w:t>2</w:t>
            </w:r>
            <w:r w:rsidR="0069707C" w:rsidRPr="001C5B3B">
              <w:rPr>
                <w:rFonts w:ascii="Calibri" w:eastAsia="Times New Roman" w:hAnsi="Calibri" w:cs="Calibri"/>
              </w:rPr>
              <w:t>5</w:t>
            </w:r>
          </w:p>
        </w:tc>
      </w:tr>
      <w:tr w:rsidR="001C5B3B" w:rsidRPr="001C5B3B" w14:paraId="1A9D15D4" w14:textId="77777777" w:rsidTr="0030303D">
        <w:trPr>
          <w:trHeight w:val="45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503138" w14:textId="637ACC23" w:rsidR="002B5CBC" w:rsidRPr="001C5B3B" w:rsidRDefault="0030303D" w:rsidP="0030303D">
            <w:pPr>
              <w:spacing w:before="0" w:after="0"/>
              <w:rPr>
                <w:rFonts w:ascii="Calibri" w:eastAsia="Times New Roman" w:hAnsi="Calibri" w:cs="Calibri"/>
                <w:b/>
                <w:bCs/>
              </w:rPr>
            </w:pPr>
            <w:r w:rsidRPr="001C5B3B">
              <w:rPr>
                <w:rFonts w:ascii="Calibri" w:eastAsia="Times New Roman" w:hAnsi="Calibri" w:cs="Calibri"/>
                <w:b/>
                <w:bCs/>
              </w:rPr>
              <w:t>k</w:t>
            </w:r>
            <w:r w:rsidR="002B5CBC" w:rsidRPr="001C5B3B">
              <w:rPr>
                <w:rFonts w:ascii="Calibri" w:eastAsia="Times New Roman" w:hAnsi="Calibri" w:cs="Calibri"/>
                <w:b/>
                <w:bCs/>
              </w:rPr>
              <w:t>anceláře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7CF11D" w14:textId="0E6C7772" w:rsidR="002B5CBC" w:rsidRPr="001C5B3B" w:rsidRDefault="002B5CBC" w:rsidP="0030303D">
            <w:pPr>
              <w:spacing w:before="0" w:after="0"/>
              <w:jc w:val="center"/>
              <w:rPr>
                <w:rFonts w:ascii="Calibri" w:eastAsia="Times New Roman" w:hAnsi="Calibri" w:cs="Calibri"/>
              </w:rPr>
            </w:pPr>
            <w:r w:rsidRPr="001C5B3B">
              <w:rPr>
                <w:rFonts w:ascii="Calibri" w:eastAsia="Times New Roman" w:hAnsi="Calibri" w:cs="Calibri"/>
              </w:rPr>
              <w:t>2</w:t>
            </w:r>
            <w:r w:rsidR="000777C3" w:rsidRPr="001C5B3B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3A88C1" w14:textId="4BB3DCAD" w:rsidR="002B5CBC" w:rsidRPr="001C5B3B" w:rsidRDefault="002B5CBC" w:rsidP="0030303D">
            <w:pPr>
              <w:spacing w:before="0" w:after="0"/>
              <w:jc w:val="center"/>
              <w:rPr>
                <w:rFonts w:ascii="Calibri" w:eastAsia="Times New Roman" w:hAnsi="Calibri" w:cs="Calibri"/>
              </w:rPr>
            </w:pPr>
            <w:r w:rsidRPr="001C5B3B">
              <w:rPr>
                <w:rFonts w:ascii="Calibri" w:eastAsia="Times New Roman" w:hAnsi="Calibri" w:cs="Calibri"/>
              </w:rPr>
              <w:t>4</w:t>
            </w:r>
            <w:r w:rsidR="0069707C" w:rsidRPr="001C5B3B">
              <w:rPr>
                <w:rFonts w:ascii="Calibri" w:eastAsia="Times New Roman" w:hAnsi="Calibri" w:cs="Calibri"/>
              </w:rPr>
              <w:t>0</w:t>
            </w:r>
          </w:p>
        </w:tc>
      </w:tr>
      <w:tr w:rsidR="001C5B3B" w:rsidRPr="001C5B3B" w14:paraId="18C61685" w14:textId="77777777" w:rsidTr="0030303D">
        <w:trPr>
          <w:trHeight w:val="45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5B24F6" w14:textId="1A33A746" w:rsidR="002B5CBC" w:rsidRPr="001C5B3B" w:rsidRDefault="0030303D" w:rsidP="0030303D">
            <w:pPr>
              <w:spacing w:before="0" w:after="0"/>
              <w:rPr>
                <w:rFonts w:ascii="Calibri" w:eastAsia="Times New Roman" w:hAnsi="Calibri" w:cs="Calibri"/>
                <w:b/>
                <w:bCs/>
              </w:rPr>
            </w:pPr>
            <w:r w:rsidRPr="001C5B3B">
              <w:rPr>
                <w:rFonts w:ascii="Calibri" w:eastAsia="Times New Roman" w:hAnsi="Calibri" w:cs="Calibri"/>
                <w:b/>
                <w:bCs/>
              </w:rPr>
              <w:t>b</w:t>
            </w:r>
            <w:r w:rsidR="002B5CBC" w:rsidRPr="001C5B3B">
              <w:rPr>
                <w:rFonts w:ascii="Calibri" w:eastAsia="Times New Roman" w:hAnsi="Calibri" w:cs="Calibri"/>
                <w:b/>
                <w:bCs/>
              </w:rPr>
              <w:t>ydlení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A5ABAA" w14:textId="6EECF255" w:rsidR="002B5CBC" w:rsidRPr="001C5B3B" w:rsidRDefault="002B5CBC" w:rsidP="0030303D">
            <w:pPr>
              <w:spacing w:before="0" w:after="0"/>
              <w:jc w:val="center"/>
              <w:rPr>
                <w:rFonts w:ascii="Calibri" w:eastAsia="Times New Roman" w:hAnsi="Calibri" w:cs="Calibri"/>
              </w:rPr>
            </w:pPr>
            <w:r w:rsidRPr="001C5B3B">
              <w:rPr>
                <w:rFonts w:ascii="Calibri" w:eastAsia="Times New Roman" w:hAnsi="Calibri" w:cs="Calibri"/>
              </w:rPr>
              <w:t>2</w:t>
            </w:r>
            <w:r w:rsidR="000777C3" w:rsidRPr="001C5B3B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B7585F" w14:textId="4E25C352" w:rsidR="002B5CBC" w:rsidRPr="001C5B3B" w:rsidRDefault="002B5CBC" w:rsidP="0030303D">
            <w:pPr>
              <w:spacing w:before="0" w:after="0"/>
              <w:jc w:val="center"/>
              <w:rPr>
                <w:rFonts w:ascii="Calibri" w:eastAsia="Times New Roman" w:hAnsi="Calibri" w:cs="Calibri"/>
              </w:rPr>
            </w:pPr>
            <w:r w:rsidRPr="001C5B3B">
              <w:rPr>
                <w:rFonts w:ascii="Calibri" w:eastAsia="Times New Roman" w:hAnsi="Calibri" w:cs="Calibri"/>
              </w:rPr>
              <w:t>4</w:t>
            </w:r>
            <w:r w:rsidR="0069707C" w:rsidRPr="001C5B3B">
              <w:rPr>
                <w:rFonts w:ascii="Calibri" w:eastAsia="Times New Roman" w:hAnsi="Calibri" w:cs="Calibri"/>
              </w:rPr>
              <w:t>0</w:t>
            </w:r>
          </w:p>
        </w:tc>
      </w:tr>
    </w:tbl>
    <w:p w14:paraId="121DB8D6" w14:textId="1B221639" w:rsidR="000E1D0C" w:rsidRPr="001C5B3B" w:rsidRDefault="000E1D0C" w:rsidP="000E1D0C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357"/>
        <w:contextualSpacing w:val="0"/>
        <w:rPr>
          <w:strike/>
        </w:rPr>
      </w:pPr>
      <w:r w:rsidRPr="001C5B3B">
        <w:t xml:space="preserve">Navrhněte v parteru, případně 1PP prostory pro kulturně společenský hub, jehož centrem budou veřejně přístupné prostory VŠCHT. Na ně navažte prostory v objektu </w:t>
      </w:r>
      <w:r w:rsidR="007737BF" w:rsidRPr="001C5B3B">
        <w:t>Fourth Quadrant</w:t>
      </w:r>
      <w:r w:rsidRPr="001C5B3B">
        <w:t xml:space="preserve">, které budou vhodně doplňovat funkce kulturně komunitního hubu. </w:t>
      </w:r>
    </w:p>
    <w:p w14:paraId="3C00193B" w14:textId="1012A521" w:rsidR="00CA5DF8" w:rsidRPr="001C5B3B" w:rsidRDefault="00CA5DF8" w:rsidP="001822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1C5B3B">
        <w:t>V parteru objektů navrhněte prostory pro restaurace, kavárny, doplněné o prostory salónků a dalších prostor, bistra a další služby s přímou vazbou na uliční parter, umožňující společenský a pouliční život čtvrti.</w:t>
      </w:r>
    </w:p>
    <w:p w14:paraId="4BD9FF32" w14:textId="053AB852" w:rsidR="000E1D0C" w:rsidRPr="001C5B3B" w:rsidRDefault="000E1D0C" w:rsidP="000E1D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1C5B3B">
        <w:t>Aktivní parter s obchody, restauracemi a službami propojte obchodní pasáží na stávající vestibul metra a návštěvnická stání v podzemních garážích.</w:t>
      </w:r>
    </w:p>
    <w:p w14:paraId="1BF51BC3" w14:textId="08EE99D0" w:rsidR="00532C67" w:rsidRPr="001C5B3B" w:rsidRDefault="00532C67" w:rsidP="00AD17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1C5B3B">
        <w:t>Navrhněte ideální umístění tržnice ve vnitrobloku nebo v rámci veřejných prostranství tak, aby měla přímou vazbu na obchůdky do uličního parteru.</w:t>
      </w:r>
    </w:p>
    <w:p w14:paraId="76761F99" w14:textId="77777777" w:rsidR="00532C67" w:rsidRPr="001C5B3B" w:rsidRDefault="00532C67" w:rsidP="00532C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1C5B3B">
        <w:lastRenderedPageBreak/>
        <w:t xml:space="preserve">Při koncipování kancelářských prostor počítejte s možností, že v objektu by mohl v budoucnu být umístěn úřad státní administrativy. </w:t>
      </w:r>
    </w:p>
    <w:p w14:paraId="551E9E40" w14:textId="77777777" w:rsidR="00B60F2C" w:rsidRPr="001C5B3B" w:rsidRDefault="00B60F2C" w:rsidP="00B60F2C">
      <w:pPr>
        <w:rPr>
          <w:b/>
          <w:bCs/>
        </w:rPr>
      </w:pPr>
      <w:r w:rsidRPr="001C5B3B">
        <w:rPr>
          <w:b/>
          <w:bCs/>
        </w:rPr>
        <w:t>Rozmístění funkcí v objektech</w:t>
      </w:r>
    </w:p>
    <w:p w14:paraId="12A9EA33" w14:textId="448F8725" w:rsidR="00B60F2C" w:rsidRPr="001C5B3B" w:rsidRDefault="00B60F2C" w:rsidP="00B60F2C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357"/>
        <w:contextualSpacing w:val="0"/>
        <w:rPr>
          <w:strike/>
        </w:rPr>
      </w:pPr>
      <w:r w:rsidRPr="001C5B3B">
        <w:t>Objekt VŠCHT navrhněte v nároží Šolínovy a protažení Technické ulice. V zájmu optimalizace celkového návrhu dostavby 4. kvadrantu a naplnění stavebních programů je přípustné navrhnout úpravu hranic pozemků VŠCHT a Fourth Quadrant. Podmínkou úpravy hranic pozemků však je, že zůstane zachována výměra pozemku VŠCHT 3</w:t>
      </w:r>
      <w:r w:rsidR="005E3F3C" w:rsidRPr="001C5B3B">
        <w:t xml:space="preserve"> </w:t>
      </w:r>
      <w:r w:rsidRPr="001C5B3B">
        <w:t>000 m</w:t>
      </w:r>
      <w:r w:rsidRPr="001C5B3B">
        <w:rPr>
          <w:vertAlign w:val="superscript"/>
        </w:rPr>
        <w:t>2</w:t>
      </w:r>
      <w:r w:rsidRPr="001C5B3B">
        <w:t>.</w:t>
      </w:r>
    </w:p>
    <w:p w14:paraId="1B8A5E0D" w14:textId="77777777" w:rsidR="00B60F2C" w:rsidRPr="001C5B3B" w:rsidRDefault="00B60F2C" w:rsidP="00B60F2C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357"/>
        <w:contextualSpacing w:val="0"/>
        <w:rPr>
          <w:strike/>
        </w:rPr>
      </w:pPr>
      <w:r w:rsidRPr="001C5B3B">
        <w:t xml:space="preserve">Návrh dostavby 4. kvadrantu koncipujte tak, aby objekt Fourth Quadrant nebyl žádnou svojí částí umístěn na pozemku VŠCHT a naopak. </w:t>
      </w:r>
      <w:r w:rsidRPr="001C5B3B">
        <w:rPr>
          <w:rFonts w:cstheme="minorHAnsi"/>
        </w:rPr>
        <w:t>Stavebně půjde o samostatné, na hranicích pozemků dilatované objekty s vlastními vstupy. Výjimkou mohou být společné komunikace obsluhující podzemní prostory garáží, kde je přípustné vzájemné propojení, avšak vlastní prostory garáží musí být oddělené, uzavíratelné, a to i protipožárně.</w:t>
      </w:r>
      <w:r w:rsidRPr="001C5B3B">
        <w:t xml:space="preserve"> </w:t>
      </w:r>
    </w:p>
    <w:p w14:paraId="2646E30E" w14:textId="77777777" w:rsidR="00B60F2C" w:rsidRPr="001C5B3B" w:rsidRDefault="00B60F2C" w:rsidP="00B60F2C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357"/>
        <w:contextualSpacing w:val="0"/>
        <w:rPr>
          <w:rFonts w:eastAsia="Adobe Fangsong Std R" w:cs="Times New Roman"/>
          <w:i/>
          <w:iCs/>
          <w:sz w:val="20"/>
          <w:szCs w:val="24"/>
        </w:rPr>
      </w:pPr>
      <w:r w:rsidRPr="001C5B3B">
        <w:t>Veřejně přístupné prostory VŠCHT musí být oddělitelné od parteru a 1. suterénu sousedních budov tak, aby po oddělení nebyly dotčeny provozy ani jedné z částí areálu.</w:t>
      </w:r>
    </w:p>
    <w:p w14:paraId="4AF3BC27" w14:textId="762D53AE" w:rsidR="00F231B7" w:rsidRPr="001C5B3B" w:rsidRDefault="00F231B7" w:rsidP="00F231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1C5B3B">
        <w:t>V jednom vstupu / č.p. / SVJ nekombinujte funkci bydlení a kanceláří,</w:t>
      </w:r>
      <w:r w:rsidR="00896E17">
        <w:t xml:space="preserve"> avšak</w:t>
      </w:r>
      <w:r w:rsidRPr="001C5B3B">
        <w:t xml:space="preserve"> navrhněte urbanisticky a architektonicky harmonický celek.</w:t>
      </w:r>
      <w:r w:rsidR="00896E17">
        <w:t xml:space="preserve"> </w:t>
      </w:r>
      <w:r w:rsidR="00896E17" w:rsidRPr="00896E17">
        <w:t>Do Vítězného náměstí by měl být celkový architektonický výraz objektů jednotný.</w:t>
      </w:r>
    </w:p>
    <w:p w14:paraId="631DB091" w14:textId="77777777" w:rsidR="00B60F2C" w:rsidRPr="001C5B3B" w:rsidRDefault="00B60F2C" w:rsidP="00B60F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1C5B3B">
        <w:t>Část objektu s obchody, službami a restauracemi a prostory pro kulturu by měla reagovat na výškové návaznosti na okolní uliční prostranství, předpokládáno je i lokální umístění těchto funkcí do více podlaží nad sebou.</w:t>
      </w:r>
    </w:p>
    <w:p w14:paraId="38BDD75D" w14:textId="77777777" w:rsidR="00532C67" w:rsidRPr="001C5B3B" w:rsidRDefault="00532C67" w:rsidP="00B60F2C">
      <w:pPr>
        <w:pBdr>
          <w:top w:val="nil"/>
          <w:left w:val="nil"/>
          <w:bottom w:val="nil"/>
          <w:right w:val="nil"/>
          <w:between w:val="nil"/>
        </w:pBdr>
        <w:ind w:left="66"/>
      </w:pPr>
    </w:p>
    <w:p w14:paraId="00000010" w14:textId="0BEFCA77" w:rsidR="00FD53A5" w:rsidRPr="001C5B3B" w:rsidRDefault="00D348BE" w:rsidP="000D424E">
      <w:pPr>
        <w:pStyle w:val="Nadpis2"/>
      </w:pPr>
      <w:bookmarkStart w:id="31" w:name="_Toc104908014"/>
      <w:bookmarkStart w:id="32" w:name="_Toc104908123"/>
      <w:bookmarkStart w:id="33" w:name="_Toc104908753"/>
      <w:bookmarkStart w:id="34" w:name="_Toc104909323"/>
      <w:bookmarkStart w:id="35" w:name="_Toc105688719"/>
      <w:r w:rsidRPr="001C5B3B">
        <w:t>Struktura a charakter zástavby</w:t>
      </w:r>
      <w:bookmarkEnd w:id="31"/>
      <w:bookmarkEnd w:id="32"/>
      <w:bookmarkEnd w:id="33"/>
      <w:bookmarkEnd w:id="34"/>
      <w:bookmarkEnd w:id="35"/>
    </w:p>
    <w:p w14:paraId="00000011" w14:textId="3C36B8A9" w:rsidR="00FD53A5" w:rsidRPr="001C5B3B" w:rsidRDefault="00F10C47">
      <w:r w:rsidRPr="001C5B3B">
        <w:t>Pro návrh dostavby 4. kvadrantu je základním východiskem Engelova urbanistická koncepce, zejména v území založená struktura veřejných prostranství s centrem Vítězného náměstí a na ni vázaná městská bloková zástavba. Závazná regulace zástavby je nastavena v územním plánu a je vázána na celkovou výměru plochy s rozdílným způsobem využití SMJ (3</w:t>
      </w:r>
      <w:r w:rsidR="00B7602A" w:rsidRPr="001C5B3B">
        <w:t>,</w:t>
      </w:r>
      <w:r w:rsidR="003C4715" w:rsidRPr="001C5B3B">
        <w:t xml:space="preserve"> </w:t>
      </w:r>
      <w:r w:rsidRPr="001C5B3B">
        <w:t>207</w:t>
      </w:r>
      <w:r w:rsidR="00B7602A" w:rsidRPr="001C5B3B">
        <w:t>4</w:t>
      </w:r>
      <w:r w:rsidRPr="001C5B3B">
        <w:t xml:space="preserve"> ha) </w:t>
      </w:r>
      <w:r w:rsidR="00AD176D" w:rsidRPr="001C5B3B">
        <w:t xml:space="preserve">se stanoveným kódem míry využití </w:t>
      </w:r>
      <w:r w:rsidRPr="001C5B3B">
        <w:t>K. Zájmové území je situováno v</w:t>
      </w:r>
      <w:r w:rsidR="00E85020" w:rsidRPr="001C5B3B">
        <w:t> </w:t>
      </w:r>
      <w:r w:rsidRPr="001C5B3B">
        <w:t>oblasti se zákazem výškových staveb</w:t>
      </w:r>
      <w:r w:rsidR="00D55755" w:rsidRPr="001C5B3B">
        <w:t xml:space="preserve"> (staveb nad 12 NP)</w:t>
      </w:r>
      <w:r w:rsidRPr="001C5B3B">
        <w:t xml:space="preserve">. </w:t>
      </w:r>
    </w:p>
    <w:p w14:paraId="41FE26F5" w14:textId="7642C68D" w:rsidR="000761A9" w:rsidRPr="001C5B3B" w:rsidRDefault="000761A9" w:rsidP="000D424E">
      <w:pPr>
        <w:pStyle w:val="Nadpis3"/>
      </w:pPr>
      <w:r w:rsidRPr="001C5B3B">
        <w:t>Úkoly k řešení:</w:t>
      </w:r>
    </w:p>
    <w:p w14:paraId="00000012" w14:textId="207069D8" w:rsidR="00FD53A5" w:rsidRPr="001C5B3B" w:rsidRDefault="00512240" w:rsidP="003030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357"/>
      </w:pPr>
      <w:r w:rsidRPr="001C5B3B">
        <w:t>V návrhu dostavby 4.</w:t>
      </w:r>
      <w:r w:rsidR="003C4715" w:rsidRPr="001C5B3B">
        <w:t xml:space="preserve"> </w:t>
      </w:r>
      <w:r w:rsidRPr="001C5B3B">
        <w:t xml:space="preserve">kvadrantu vycházejte z urbanistických principů </w:t>
      </w:r>
      <w:r w:rsidR="00746B73" w:rsidRPr="001C5B3B">
        <w:t>E</w:t>
      </w:r>
      <w:r w:rsidRPr="001C5B3B">
        <w:t xml:space="preserve">ngelova konceptu a </w:t>
      </w:r>
      <w:r w:rsidR="001F2BF7" w:rsidRPr="001C5B3B">
        <w:t>navažte na</w:t>
      </w:r>
      <w:r w:rsidR="00F10C47" w:rsidRPr="001C5B3B">
        <w:t xml:space="preserve"> stávající blokovou strukturu území. </w:t>
      </w:r>
    </w:p>
    <w:p w14:paraId="00000014" w14:textId="3167AB6C" w:rsidR="00FD53A5" w:rsidRPr="001C5B3B" w:rsidRDefault="00100E49" w:rsidP="003030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357"/>
        <w:rPr>
          <w:strike/>
        </w:rPr>
      </w:pPr>
      <w:r w:rsidRPr="001C5B3B">
        <w:t>R</w:t>
      </w:r>
      <w:r w:rsidR="00F10C47" w:rsidRPr="001C5B3B">
        <w:t>espekt</w:t>
      </w:r>
      <w:r w:rsidR="00512240" w:rsidRPr="001C5B3B">
        <w:t>ujte</w:t>
      </w:r>
      <w:r w:rsidR="00F10C47" w:rsidRPr="001C5B3B">
        <w:t xml:space="preserve"> v území založené uliční čáry do Vítězného náměstí</w:t>
      </w:r>
      <w:r w:rsidR="001A3F69" w:rsidRPr="001C5B3B">
        <w:t xml:space="preserve"> a</w:t>
      </w:r>
      <w:r w:rsidR="00F10C47" w:rsidRPr="001C5B3B">
        <w:t xml:space="preserve"> ulic Evropské a Jugoslávských partyzánů. </w:t>
      </w:r>
    </w:p>
    <w:p w14:paraId="2918A952" w14:textId="05BB3D29" w:rsidR="00A22A8E" w:rsidRPr="001C5B3B" w:rsidRDefault="00A22A8E" w:rsidP="003030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357"/>
        <w:rPr>
          <w:strike/>
        </w:rPr>
      </w:pPr>
      <w:r w:rsidRPr="001C5B3B">
        <w:t>Při návrhu hrany zástavby do Šolínovy ulice vycházejte z požadavků města na minimální šířku uličního profilu Šolínovy (od fasády k fasádě) 25 m</w:t>
      </w:r>
      <w:r w:rsidR="007737BF" w:rsidRPr="001C5B3B">
        <w:t>.</w:t>
      </w:r>
    </w:p>
    <w:p w14:paraId="7C8036EB" w14:textId="7B260710" w:rsidR="00E60D49" w:rsidRPr="001C5B3B" w:rsidRDefault="00E60D49" w:rsidP="005C7B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357"/>
      </w:pPr>
      <w:r w:rsidRPr="001C5B3B">
        <w:t>V návrhu dostavby 4. kvadrantu navrhněte prodloužení Technické ulice do prostoru Vítězného náměstí</w:t>
      </w:r>
      <w:r w:rsidR="005C7B78" w:rsidRPr="001C5B3B">
        <w:t>, přičemž u</w:t>
      </w:r>
      <w:r w:rsidRPr="001C5B3B">
        <w:t xml:space="preserve">liční profil bude navržen v min. </w:t>
      </w:r>
      <w:r w:rsidR="005C7B78" w:rsidRPr="001C5B3B">
        <w:t xml:space="preserve">šíři </w:t>
      </w:r>
      <w:r w:rsidRPr="001C5B3B">
        <w:t>24 m a nebude přestřešen.</w:t>
      </w:r>
      <w:r w:rsidR="005C7B78" w:rsidRPr="001C5B3B">
        <w:t xml:space="preserve"> </w:t>
      </w:r>
      <w:r w:rsidRPr="001C5B3B">
        <w:t>Ústí ulice do Vítězného náměstí může být oproti základnímu profilu upraveno tak, aby byla přesvědčivě dotvořena tvarová figura Vítězného náměstí vycházející z původního Engelova konceptu. Směrem do ulice Technické reagujte na šíři uličního profilu danou nárožími budov VŠCHT a FEL ČVUT v křížení ulic Technická a Šolínova. Řešení prodloužení ulice Technické do prostoru náměstí tak, jak je navrženo v Koncepční studii Vítězné náměstí a Koncepci revitalizace veřejného prostoru Kampusu Dejvice není závazné.</w:t>
      </w:r>
    </w:p>
    <w:p w14:paraId="171BEE2F" w14:textId="08BC4E14" w:rsidR="005612BB" w:rsidRPr="001C5B3B" w:rsidRDefault="00DE3431" w:rsidP="003030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1C5B3B">
        <w:lastRenderedPageBreak/>
        <w:t>V přízemí objektů navrhněte městský charakter zástavby s aktivním parterem</w:t>
      </w:r>
      <w:r w:rsidR="00393C4A" w:rsidRPr="001C5B3B">
        <w:t xml:space="preserve"> do všech navazujících ulic.</w:t>
      </w:r>
      <w:r w:rsidRPr="001C5B3B">
        <w:t xml:space="preserve"> </w:t>
      </w:r>
      <w:r w:rsidR="00393C4A" w:rsidRPr="001C5B3B">
        <w:t xml:space="preserve">Nejatraktivnější aktivní parter uvažujte do Vítězného náměstí a Technické ulice. V Šolínově navrhněte propojení aktivního parteru s dopravní obsluhou objektů. </w:t>
      </w:r>
    </w:p>
    <w:p w14:paraId="0D350866" w14:textId="2A5C843D" w:rsidR="005612BB" w:rsidRPr="001C5B3B" w:rsidRDefault="005612BB" w:rsidP="003030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1C5B3B">
        <w:t xml:space="preserve">Vstupy do obchodních prostor, kanceláří, objektu VŠCHT a vstupních hal bytových domů navrhněte </w:t>
      </w:r>
      <w:r w:rsidR="00F47697" w:rsidRPr="001C5B3B">
        <w:t xml:space="preserve">v maximální možné míře </w:t>
      </w:r>
      <w:r w:rsidRPr="001C5B3B">
        <w:t>z veřejných prostranství jako součást aktivního parteru.</w:t>
      </w:r>
    </w:p>
    <w:p w14:paraId="6FDBDA64" w14:textId="77777777" w:rsidR="007737BF" w:rsidRPr="001C5B3B" w:rsidRDefault="00393C4A" w:rsidP="007737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1C5B3B">
        <w:t xml:space="preserve">V architektonickém návrhu by členění fasád mělo vytvořit souladný celek s historickými objekty okolní zástavby na Vítězném náměstí. </w:t>
      </w:r>
    </w:p>
    <w:p w14:paraId="44D574FD" w14:textId="77777777" w:rsidR="00F231B7" w:rsidRPr="001C5B3B" w:rsidRDefault="00F231B7" w:rsidP="00F231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1C5B3B">
        <w:t>Navrhněte urbanisticky a architektonicky harmonický celek. Reflektujte význam budovy VŠCHT.</w:t>
      </w:r>
    </w:p>
    <w:p w14:paraId="0F83E55D" w14:textId="77777777" w:rsidR="007737BF" w:rsidRPr="001C5B3B" w:rsidRDefault="007737BF" w:rsidP="007737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1C5B3B">
        <w:t>V rámci nového objektu VŠCHT navrhněte napojení lávkou na historické budovy VŠCHT.</w:t>
      </w:r>
    </w:p>
    <w:p w14:paraId="75979413" w14:textId="57E88CE3" w:rsidR="00D55755" w:rsidRPr="001C5B3B" w:rsidRDefault="00D55755" w:rsidP="00C00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1C5B3B">
        <w:t>Výškou dostavby 4. kvadrantu navažte na stávající výškovou hladinu zástavby v okolí. Navažte na výšku hřebene a korunní římsy objektů na Vítězném náměstí a zároveň reagujte na výšky zástavby v</w:t>
      </w:r>
      <w:r w:rsidR="005E3F3C" w:rsidRPr="001C5B3B">
        <w:t xml:space="preserve"> ulicích </w:t>
      </w:r>
      <w:r w:rsidRPr="001C5B3B">
        <w:t>Evropské, Jugoslávských partyzánů a Šolínově (přílohou zadání je zaměření výšek říms a hřebene na Vítězném náměstí a přilehlých ulicích). Nad římsou je možné ustoupenými podlažími a nárožními akcenty objekty navýšit. Nárožní akcenty a ustoupená podlaží přiléhající k Vítěznému náměstí nepřesáhnou výšku hřebene. V částech přiléhajících k ulici Šolínova a k ulici Jugoslávských partyzánů je možné výšku římsy modifikovat a uvažovat s ustupujícími podlažími a nárožními akcenty, které by neměly přesáhnou maximální výšku objektů do Vítězného náměstí.</w:t>
      </w:r>
    </w:p>
    <w:p w14:paraId="1320FC94" w14:textId="3BA3C40E" w:rsidR="00503144" w:rsidRPr="001C5B3B" w:rsidRDefault="00503144" w:rsidP="00D557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1C5B3B">
        <w:t xml:space="preserve">V návrhu </w:t>
      </w:r>
      <w:r w:rsidR="005B641D" w:rsidRPr="001C5B3B">
        <w:t>reflektujte</w:t>
      </w:r>
      <w:r w:rsidRPr="001C5B3B">
        <w:t xml:space="preserve"> napojení ulic Zikovy a záměr na doplnění osy propojující Flemingovo náměstí na ulici Šolínovu vycházející z původní koncepce Antonína </w:t>
      </w:r>
      <w:proofErr w:type="spellStart"/>
      <w:r w:rsidRPr="001C5B3B">
        <w:t>Engela</w:t>
      </w:r>
      <w:proofErr w:type="spellEnd"/>
      <w:r w:rsidRPr="001C5B3B">
        <w:t>.</w:t>
      </w:r>
    </w:p>
    <w:p w14:paraId="3CF2D2C7" w14:textId="2CED70DC" w:rsidR="00410E14" w:rsidRPr="001C5B3B" w:rsidRDefault="005B641D" w:rsidP="003030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357"/>
        <w:rPr>
          <w:strike/>
        </w:rPr>
      </w:pPr>
      <w:r w:rsidRPr="001C5B3B">
        <w:t>Návrh koncipujte tak, aby byla možná</w:t>
      </w:r>
      <w:r w:rsidR="000D1AF3" w:rsidRPr="001C5B3B">
        <w:t xml:space="preserve"> </w:t>
      </w:r>
      <w:r w:rsidRPr="001C5B3B">
        <w:t>postupná</w:t>
      </w:r>
      <w:r w:rsidR="000D1AF3" w:rsidRPr="001C5B3B">
        <w:t xml:space="preserve"> realizace</w:t>
      </w:r>
      <w:r w:rsidR="002A3A66" w:rsidRPr="001C5B3B">
        <w:t xml:space="preserve"> dostavby 4. kvadrantu</w:t>
      </w:r>
      <w:r w:rsidRPr="001C5B3B">
        <w:t>. M</w:t>
      </w:r>
      <w:r w:rsidR="000D1AF3" w:rsidRPr="001C5B3B">
        <w:t xml:space="preserve">aximální velikost fáze je polovina řešeného území. Objekt </w:t>
      </w:r>
      <w:r w:rsidR="00B468C2" w:rsidRPr="001C5B3B">
        <w:t>Fourth Quadrant musí</w:t>
      </w:r>
      <w:r w:rsidR="000D1AF3" w:rsidRPr="001C5B3B">
        <w:t xml:space="preserve"> b</w:t>
      </w:r>
      <w:r w:rsidR="00B468C2" w:rsidRPr="001C5B3B">
        <w:t>ýt</w:t>
      </w:r>
      <w:r w:rsidR="000D1AF3" w:rsidRPr="001C5B3B">
        <w:t xml:space="preserve"> realizova</w:t>
      </w:r>
      <w:r w:rsidR="0030303D" w:rsidRPr="001C5B3B">
        <w:t>telný</w:t>
      </w:r>
      <w:r w:rsidR="000D1AF3" w:rsidRPr="001C5B3B">
        <w:t xml:space="preserve"> </w:t>
      </w:r>
      <w:r w:rsidR="002A3A66" w:rsidRPr="001C5B3B">
        <w:t>nezávisle na objektu</w:t>
      </w:r>
      <w:r w:rsidR="00B468C2" w:rsidRPr="001C5B3B">
        <w:t xml:space="preserve"> VŠCHT. </w:t>
      </w:r>
    </w:p>
    <w:p w14:paraId="4F8C9115" w14:textId="77777777" w:rsidR="00877077" w:rsidRPr="001C5B3B" w:rsidRDefault="00877077" w:rsidP="00877077">
      <w:pPr>
        <w:pBdr>
          <w:top w:val="nil"/>
          <w:left w:val="nil"/>
          <w:bottom w:val="nil"/>
          <w:right w:val="nil"/>
          <w:between w:val="nil"/>
        </w:pBdr>
      </w:pPr>
    </w:p>
    <w:p w14:paraId="618110D5" w14:textId="77777777" w:rsidR="00AD176D" w:rsidRPr="001C5B3B" w:rsidRDefault="00AD176D">
      <w:pPr>
        <w:rPr>
          <w:i/>
          <w:iCs/>
        </w:rPr>
      </w:pPr>
      <w:r w:rsidRPr="001C5B3B">
        <w:rPr>
          <w:i/>
          <w:iCs/>
        </w:rPr>
        <w:br w:type="page"/>
      </w:r>
    </w:p>
    <w:p w14:paraId="2E520EDC" w14:textId="688C8229" w:rsidR="00D86220" w:rsidRPr="001C5B3B" w:rsidRDefault="00D86220" w:rsidP="00256AE0">
      <w:pPr>
        <w:pBdr>
          <w:top w:val="nil"/>
          <w:left w:val="nil"/>
          <w:bottom w:val="nil"/>
          <w:right w:val="nil"/>
          <w:between w:val="nil"/>
        </w:pBdr>
        <w:rPr>
          <w:i/>
          <w:iCs/>
        </w:rPr>
      </w:pPr>
      <w:r w:rsidRPr="001C5B3B">
        <w:rPr>
          <w:i/>
          <w:iCs/>
        </w:rPr>
        <w:lastRenderedPageBreak/>
        <w:t>Schéma základní prostorové regulace území, zdroj: ONplan</w:t>
      </w:r>
    </w:p>
    <w:p w14:paraId="3FFFFE5A" w14:textId="3653F82F" w:rsidR="00D86220" w:rsidRPr="001C5B3B" w:rsidRDefault="005E3F3C" w:rsidP="00256AE0">
      <w:pPr>
        <w:pBdr>
          <w:top w:val="nil"/>
          <w:left w:val="nil"/>
          <w:bottom w:val="nil"/>
          <w:right w:val="nil"/>
          <w:between w:val="nil"/>
        </w:pBdr>
        <w:rPr>
          <w:i/>
          <w:iCs/>
        </w:rPr>
      </w:pPr>
      <w:r w:rsidRPr="001C5B3B">
        <w:rPr>
          <w:i/>
          <w:iCs/>
          <w:noProof/>
        </w:rPr>
        <w:drawing>
          <wp:inline distT="0" distB="0" distL="0" distR="0" wp14:anchorId="6A9F5C01" wp14:editId="4E64F3D9">
            <wp:extent cx="5753735" cy="40627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06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BE09F" w14:textId="77777777" w:rsidR="00AD176D" w:rsidRPr="001C5B3B" w:rsidRDefault="00AD176D">
      <w:pPr>
        <w:rPr>
          <w:b/>
          <w:sz w:val="36"/>
          <w:szCs w:val="36"/>
        </w:rPr>
      </w:pPr>
      <w:bookmarkStart w:id="36" w:name="_Toc104908015"/>
      <w:bookmarkStart w:id="37" w:name="_Toc104908124"/>
      <w:bookmarkStart w:id="38" w:name="_Toc104908754"/>
      <w:bookmarkStart w:id="39" w:name="_Toc104909324"/>
      <w:r w:rsidRPr="001C5B3B">
        <w:br w:type="page"/>
      </w:r>
    </w:p>
    <w:p w14:paraId="0000001B" w14:textId="77DF34DC" w:rsidR="00FD53A5" w:rsidRPr="001C5B3B" w:rsidRDefault="00D348BE" w:rsidP="000D424E">
      <w:pPr>
        <w:pStyle w:val="Nadpis2"/>
      </w:pPr>
      <w:bookmarkStart w:id="40" w:name="_Toc105688720"/>
      <w:r w:rsidRPr="001C5B3B">
        <w:lastRenderedPageBreak/>
        <w:t>Veřejná prostranství</w:t>
      </w:r>
      <w:bookmarkEnd w:id="36"/>
      <w:bookmarkEnd w:id="37"/>
      <w:bookmarkEnd w:id="38"/>
      <w:bookmarkEnd w:id="39"/>
      <w:bookmarkEnd w:id="40"/>
    </w:p>
    <w:p w14:paraId="0000001C" w14:textId="6534DE16" w:rsidR="00FD53A5" w:rsidRPr="001C5B3B" w:rsidRDefault="00F10C47">
      <w:r w:rsidRPr="001C5B3B">
        <w:t xml:space="preserve">Území navazující na Vítězné náměstí má ustálenou a jasně definovanou síť veřejných prostranství, založenou podle Engelova zastavovacího plánu. Hlavní město Praha má zpracované studie revitalizace veřejných prostranství Vítězného náměstí a Kampusu Dejvice, které jsou v otázce řešení veřejných prostranství východiskem pro návrh dostavby 4. kvadrantu. </w:t>
      </w:r>
    </w:p>
    <w:p w14:paraId="266E8898" w14:textId="7DD2B03E" w:rsidR="00742030" w:rsidRPr="001C5B3B" w:rsidRDefault="00742030" w:rsidP="00742030">
      <w:pPr>
        <w:pStyle w:val="Nadpis3"/>
      </w:pPr>
      <w:r w:rsidRPr="001C5B3B">
        <w:t>Úkoly k řešení:</w:t>
      </w:r>
    </w:p>
    <w:p w14:paraId="0000001E" w14:textId="5923915A" w:rsidR="00FD53A5" w:rsidRPr="001C5B3B" w:rsidRDefault="00EA2504" w:rsidP="003030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357"/>
      </w:pPr>
      <w:r w:rsidRPr="001C5B3B">
        <w:t>V n</w:t>
      </w:r>
      <w:r w:rsidR="00F10C47" w:rsidRPr="001C5B3B">
        <w:t>ávrh</w:t>
      </w:r>
      <w:r w:rsidRPr="001C5B3B">
        <w:t>u</w:t>
      </w:r>
      <w:r w:rsidR="00F10C47" w:rsidRPr="001C5B3B">
        <w:t xml:space="preserve"> dostavby 4. kvadrantu do prostoru Vítězného náměstí a ulic Evropské a Jugoslávských partyzánů nav</w:t>
      </w:r>
      <w:r w:rsidR="007A2981" w:rsidRPr="001C5B3B">
        <w:t>až</w:t>
      </w:r>
      <w:r w:rsidRPr="001C5B3B">
        <w:t>te</w:t>
      </w:r>
      <w:r w:rsidR="00F10C47" w:rsidRPr="001C5B3B">
        <w:t xml:space="preserve"> na návrh veřejných prostranství dle </w:t>
      </w:r>
      <w:r w:rsidR="004B298F" w:rsidRPr="001C5B3B">
        <w:t xml:space="preserve">Koncepční </w:t>
      </w:r>
      <w:r w:rsidR="00F10C47" w:rsidRPr="001C5B3B">
        <w:t>studie Vítězného náměstí.</w:t>
      </w:r>
    </w:p>
    <w:p w14:paraId="7C8CB2F8" w14:textId="6BBAAE17" w:rsidR="00B36D0C" w:rsidRPr="001C5B3B" w:rsidRDefault="00B36D0C" w:rsidP="00B36D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357"/>
      </w:pPr>
      <w:r w:rsidRPr="001C5B3B">
        <w:t>V ose ulice Technické směrem k Vítěznému náměstí navrhněte dotvoření plnohodnotné ulice charakteru pěší zóny v maximální možné míře komfortní a bezpečné. Reagujte na návrh přemístění Pomníku československých účastníků 2. světové války dle Koncepční studie Vítězné náměstí.</w:t>
      </w:r>
    </w:p>
    <w:p w14:paraId="0451A317" w14:textId="338702F9" w:rsidR="007A2981" w:rsidRPr="001C5B3B" w:rsidRDefault="007A2981" w:rsidP="003030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357"/>
      </w:pPr>
      <w:r w:rsidRPr="001C5B3B">
        <w:t>Návrh</w:t>
      </w:r>
      <w:r w:rsidR="00F10C47" w:rsidRPr="001C5B3B">
        <w:t xml:space="preserve"> chodníků podél nových objektů v ulici Šolínova</w:t>
      </w:r>
      <w:r w:rsidRPr="001C5B3B">
        <w:t xml:space="preserve"> koncipujte tak, aby</w:t>
      </w:r>
      <w:r w:rsidR="00F10C47" w:rsidRPr="001C5B3B">
        <w:t xml:space="preserve"> </w:t>
      </w:r>
      <w:r w:rsidRPr="001C5B3B">
        <w:t>mohl vzniknout</w:t>
      </w:r>
      <w:r w:rsidR="00F10C47" w:rsidRPr="001C5B3B">
        <w:t xml:space="preserve"> aktivní předprostor vybavenosti v přízemí budov</w:t>
      </w:r>
      <w:r w:rsidRPr="001C5B3B">
        <w:t xml:space="preserve"> </w:t>
      </w:r>
      <w:r w:rsidR="00503144" w:rsidRPr="001C5B3B">
        <w:t>4. kvadrantu</w:t>
      </w:r>
      <w:r w:rsidRPr="001C5B3B">
        <w:t>.</w:t>
      </w:r>
      <w:r w:rsidR="00DC1FF5" w:rsidRPr="001C5B3B">
        <w:t xml:space="preserve"> Ve svém řešení navrhněte </w:t>
      </w:r>
      <w:r w:rsidR="001F2B4E" w:rsidRPr="001C5B3B">
        <w:t>opatření k</w:t>
      </w:r>
      <w:r w:rsidR="00DC1FF5" w:rsidRPr="001C5B3B">
        <w:t xml:space="preserve"> eliminaci rušivých dopadů autobusové dopravy.</w:t>
      </w:r>
      <w:r w:rsidRPr="001C5B3B">
        <w:t xml:space="preserve"> Šíře chodníků v ulici Šolínova podél nových objektů tak, jak je navržena v</w:t>
      </w:r>
      <w:r w:rsidR="00B75B19" w:rsidRPr="001C5B3B">
        <w:t xml:space="preserve"> Koncepční</w:t>
      </w:r>
      <w:r w:rsidRPr="001C5B3B">
        <w:t xml:space="preserve"> studii Vítězné náměstí a </w:t>
      </w:r>
      <w:r w:rsidR="00B75B19" w:rsidRPr="001C5B3B">
        <w:t>Koncepci revitalizace veřejného prostoru</w:t>
      </w:r>
      <w:r w:rsidR="00B75B19" w:rsidRPr="001C5B3B">
        <w:rPr>
          <w:b/>
          <w:bCs/>
        </w:rPr>
        <w:t xml:space="preserve"> </w:t>
      </w:r>
      <w:r w:rsidRPr="001C5B3B">
        <w:t>Kampus</w:t>
      </w:r>
      <w:r w:rsidR="00B75B19" w:rsidRPr="001C5B3B">
        <w:t>u</w:t>
      </w:r>
      <w:r w:rsidRPr="001C5B3B">
        <w:t xml:space="preserve"> Dejvice, není závazná.</w:t>
      </w:r>
    </w:p>
    <w:p w14:paraId="72CC5C84" w14:textId="624ABCDA" w:rsidR="00C00882" w:rsidRPr="001C5B3B" w:rsidRDefault="008A319C" w:rsidP="00C00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1C5B3B">
        <w:t>V</w:t>
      </w:r>
      <w:r w:rsidR="00C00882" w:rsidRPr="001C5B3B">
        <w:t>nitroblok</w:t>
      </w:r>
      <w:r w:rsidRPr="001C5B3B">
        <w:t>y řešte</w:t>
      </w:r>
      <w:r w:rsidR="00C00882" w:rsidRPr="001C5B3B">
        <w:t xml:space="preserve"> tak, aby </w:t>
      </w:r>
      <w:r w:rsidRPr="001C5B3B">
        <w:t xml:space="preserve">jejich </w:t>
      </w:r>
      <w:r w:rsidR="00C00882" w:rsidRPr="001C5B3B">
        <w:t xml:space="preserve">části, které </w:t>
      </w:r>
      <w:r w:rsidR="00977448" w:rsidRPr="001C5B3B">
        <w:t>budou navazovat</w:t>
      </w:r>
      <w:r w:rsidR="00C00882" w:rsidRPr="001C5B3B">
        <w:t xml:space="preserve"> na kancelářské objekty s obchodními prostory a restauracemi byly veřejně přístupné s možností uzavření na noc. Části vnitrobloků, které </w:t>
      </w:r>
      <w:r w:rsidR="00977448" w:rsidRPr="001C5B3B">
        <w:t>budou navazovat</w:t>
      </w:r>
      <w:r w:rsidR="00C00882" w:rsidRPr="001C5B3B">
        <w:t xml:space="preserve"> na obytné části domů by měly mít primárně soukromý či polosoukromý charakter a obchody a služby v parteru by měly být orientovány do ulice. </w:t>
      </w:r>
    </w:p>
    <w:p w14:paraId="281D01BF" w14:textId="77777777" w:rsidR="00C00882" w:rsidRPr="001C5B3B" w:rsidRDefault="00C00882" w:rsidP="00C00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1C5B3B">
        <w:t>Navrhněte pěší prostupnost skrz budovy a vnitrobloky.</w:t>
      </w:r>
    </w:p>
    <w:p w14:paraId="06B70CC6" w14:textId="7A4AF16E" w:rsidR="00DA4B26" w:rsidRPr="001C5B3B" w:rsidRDefault="00DA4B26" w:rsidP="00C00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1C5B3B">
        <w:t>Zvažte využití uměleckých děl v rámci objektů i veřejného prostranství.</w:t>
      </w:r>
    </w:p>
    <w:p w14:paraId="444B86DA" w14:textId="151231C3" w:rsidR="00DA4B26" w:rsidRPr="001C5B3B" w:rsidRDefault="00DA4B26" w:rsidP="001822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357"/>
      </w:pPr>
      <w:r w:rsidRPr="001C5B3B">
        <w:t>Ve svém návrhu zvažte možnosti připomenutí historie místa, např. odkaz na historickou kalvárii výklenkových kaplí ke kostelíku sv. Matěje či hruš</w:t>
      </w:r>
      <w:r w:rsidR="00990761" w:rsidRPr="001C5B3B">
        <w:t>ň</w:t>
      </w:r>
      <w:r w:rsidRPr="001C5B3B">
        <w:t xml:space="preserve">ové aleje typické pro historické Dejvice (viz kapitola </w:t>
      </w:r>
      <w:r w:rsidR="00990761" w:rsidRPr="001C5B3B">
        <w:t>H</w:t>
      </w:r>
      <w:r w:rsidRPr="001C5B3B">
        <w:t xml:space="preserve">istorie </w:t>
      </w:r>
      <w:r w:rsidR="00990761" w:rsidRPr="001C5B3B">
        <w:t>v </w:t>
      </w:r>
      <w:r w:rsidR="00E15E6A" w:rsidRPr="001C5B3B">
        <w:t>A</w:t>
      </w:r>
      <w:r w:rsidRPr="001C5B3B">
        <w:t>nalýz</w:t>
      </w:r>
      <w:r w:rsidR="00990761" w:rsidRPr="001C5B3B">
        <w:t>e území</w:t>
      </w:r>
      <w:r w:rsidRPr="001C5B3B">
        <w:t>).</w:t>
      </w:r>
    </w:p>
    <w:p w14:paraId="5B77AACE" w14:textId="77777777" w:rsidR="00037E82" w:rsidRPr="001C5B3B" w:rsidRDefault="00037E82" w:rsidP="001822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357"/>
      </w:pPr>
      <w:bookmarkStart w:id="41" w:name="_Toc104908016"/>
      <w:bookmarkStart w:id="42" w:name="_Toc104908125"/>
      <w:bookmarkStart w:id="43" w:name="_Toc104908755"/>
      <w:bookmarkStart w:id="44" w:name="_Toc104909325"/>
      <w:r w:rsidRPr="001C5B3B">
        <w:br w:type="page"/>
      </w:r>
    </w:p>
    <w:p w14:paraId="00000023" w14:textId="258E3443" w:rsidR="00FD53A5" w:rsidRPr="001C5B3B" w:rsidRDefault="00D348BE" w:rsidP="000D424E">
      <w:pPr>
        <w:pStyle w:val="Nadpis2"/>
      </w:pPr>
      <w:bookmarkStart w:id="45" w:name="_Toc105688721"/>
      <w:r w:rsidRPr="001C5B3B">
        <w:lastRenderedPageBreak/>
        <w:t>Modro-zelená infrastruktura</w:t>
      </w:r>
      <w:bookmarkEnd w:id="41"/>
      <w:bookmarkEnd w:id="42"/>
      <w:bookmarkEnd w:id="43"/>
      <w:bookmarkEnd w:id="44"/>
      <w:bookmarkEnd w:id="45"/>
    </w:p>
    <w:p w14:paraId="00000024" w14:textId="2CDBF250" w:rsidR="00FD53A5" w:rsidRPr="001C5B3B" w:rsidRDefault="00F10C47">
      <w:r w:rsidRPr="001C5B3B">
        <w:t>V Praze se předpokládají velké dopady klimatických změn, které mohou ještě více prohloubit negativní dopady efektu tepelného ostrova města. Tento problém se týká i silně urbanizovaného území Dejvic</w:t>
      </w:r>
      <w:r w:rsidR="001F39A4" w:rsidRPr="001C5B3B">
        <w:t>.</w:t>
      </w:r>
      <w:r w:rsidR="0033722A" w:rsidRPr="001C5B3B">
        <w:t xml:space="preserve"> </w:t>
      </w:r>
      <w:r w:rsidR="001F39A4" w:rsidRPr="001C5B3B">
        <w:t>V</w:t>
      </w:r>
      <w:r w:rsidR="0033722A" w:rsidRPr="001C5B3B">
        <w:t> návrhu dostavby 4. kvadrantu je třeba se vážně zabývat opatřeními, kter</w:t>
      </w:r>
      <w:r w:rsidR="00A53CA0" w:rsidRPr="001C5B3B">
        <w:t>á</w:t>
      </w:r>
      <w:r w:rsidR="0033722A" w:rsidRPr="001C5B3B">
        <w:t xml:space="preserve"> přispějí ke zmírnění dopadů klimatických změn.</w:t>
      </w:r>
    </w:p>
    <w:p w14:paraId="00000025" w14:textId="5686D8F9" w:rsidR="00FD53A5" w:rsidRPr="001C5B3B" w:rsidRDefault="00F10C47">
      <w:r w:rsidRPr="001C5B3B">
        <w:t xml:space="preserve">V blokové zástavbě Dejvic je nejvýznamnějším prvkem zelené infrastruktury Engelův zelený pás, který je s řešeným územím a Vítězným náměstím propojen zeleným středovým pásem </w:t>
      </w:r>
      <w:r w:rsidR="00D27BF1" w:rsidRPr="001C5B3B">
        <w:t>T</w:t>
      </w:r>
      <w:r w:rsidRPr="001C5B3B">
        <w:t xml:space="preserve">echnické ulice se skupinami </w:t>
      </w:r>
      <w:r w:rsidR="00641CE2" w:rsidRPr="001C5B3B">
        <w:t>sakur</w:t>
      </w:r>
      <w:r w:rsidR="004C086F" w:rsidRPr="001C5B3B">
        <w:t xml:space="preserve"> a aleje, které jsou typickým prvkem Dejvic – Bubenče. </w:t>
      </w:r>
      <w:r w:rsidRPr="001C5B3B">
        <w:t xml:space="preserve">Ve studii Vítězného náměstí jsou v centru náměstí navrženy boskety, podél </w:t>
      </w:r>
      <w:r w:rsidR="00E15E6A" w:rsidRPr="001C5B3B">
        <w:t xml:space="preserve">ulic </w:t>
      </w:r>
      <w:r w:rsidRPr="001C5B3B">
        <w:t xml:space="preserve">Evropské a Jugoslávských partyzánů a v prodloužení </w:t>
      </w:r>
      <w:r w:rsidR="00DC642F" w:rsidRPr="001C5B3B">
        <w:t xml:space="preserve">ulice </w:t>
      </w:r>
      <w:r w:rsidRPr="001C5B3B">
        <w:t>Technické jsou doplněny aleje.</w:t>
      </w:r>
      <w:r w:rsidR="0033722A" w:rsidRPr="001C5B3B">
        <w:t xml:space="preserve"> </w:t>
      </w:r>
    </w:p>
    <w:p w14:paraId="16C02EBD" w14:textId="77777777" w:rsidR="00742030" w:rsidRPr="001C5B3B" w:rsidRDefault="00742030" w:rsidP="00742030">
      <w:pPr>
        <w:pStyle w:val="Nadpis3"/>
      </w:pPr>
      <w:r w:rsidRPr="001C5B3B">
        <w:t>Úkoly k řešení:</w:t>
      </w:r>
    </w:p>
    <w:p w14:paraId="00000026" w14:textId="20AD86DC" w:rsidR="00FD53A5" w:rsidRPr="001C5B3B" w:rsidRDefault="00F10C47" w:rsidP="003030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357"/>
      </w:pPr>
      <w:r w:rsidRPr="001C5B3B">
        <w:t>V rámci dostavby 4. kvadrantu navrh</w:t>
      </w:r>
      <w:r w:rsidR="00FE5D1B" w:rsidRPr="001C5B3B">
        <w:t>něte</w:t>
      </w:r>
      <w:r w:rsidRPr="001C5B3B">
        <w:t xml:space="preserve"> opatření, která přispějí ke zmírnění dopadů klimatické změny.</w:t>
      </w:r>
    </w:p>
    <w:p w14:paraId="7E27192B" w14:textId="77777777" w:rsidR="0054271D" w:rsidRPr="001C5B3B" w:rsidRDefault="0054271D" w:rsidP="00977448">
      <w:pPr>
        <w:pStyle w:val="Odstavecseseznamem"/>
        <w:numPr>
          <w:ilvl w:val="0"/>
          <w:numId w:val="1"/>
        </w:numPr>
        <w:ind w:left="425" w:hanging="357"/>
        <w:contextualSpacing w:val="0"/>
      </w:pPr>
      <w:r w:rsidRPr="001C5B3B">
        <w:t>Navrhněte komplexní systém hospodaření s dešťovou vodou, a to jak v samotném objektu, tak v přilehlých veřejných prostranstvích a vnitrobloku s důrazem na zachytávání dešťové vody v místě jejího dopadu a maximalizaci vsaku a výparu a minimalizaci povrchového odtoku. Navrhněte propojení vodohospodářských opatření a vegetačních prvků do systému modrozelené infrastruktury při využití synergických účinků vody a zeleně.</w:t>
      </w:r>
    </w:p>
    <w:p w14:paraId="0258F62B" w14:textId="77777777" w:rsidR="00977448" w:rsidRPr="001C5B3B" w:rsidRDefault="00977448" w:rsidP="00977448">
      <w:pPr>
        <w:pStyle w:val="Odstavecseseznamem"/>
        <w:numPr>
          <w:ilvl w:val="0"/>
          <w:numId w:val="1"/>
        </w:numPr>
        <w:ind w:left="425" w:hanging="357"/>
        <w:contextualSpacing w:val="0"/>
      </w:pPr>
      <w:r w:rsidRPr="001C5B3B">
        <w:t>Přípustný je návrh zelených střech s maximálním respektem a citlivostí k zachování a dotvoření chráněné střešní krajiny.</w:t>
      </w:r>
    </w:p>
    <w:p w14:paraId="00000027" w14:textId="7DC57D6B" w:rsidR="00FD53A5" w:rsidRPr="001C5B3B" w:rsidRDefault="00936554" w:rsidP="003030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357"/>
      </w:pPr>
      <w:r w:rsidRPr="001C5B3B">
        <w:t>V návrhu dostavby 4. kvadrantu r</w:t>
      </w:r>
      <w:r w:rsidR="00F10C47" w:rsidRPr="001C5B3B">
        <w:t>espekt</w:t>
      </w:r>
      <w:r w:rsidR="00FE5D1B" w:rsidRPr="001C5B3B">
        <w:t xml:space="preserve">ujte </w:t>
      </w:r>
      <w:r w:rsidR="00F10C47" w:rsidRPr="001C5B3B">
        <w:t>prvk</w:t>
      </w:r>
      <w:r w:rsidR="00FE5D1B" w:rsidRPr="001C5B3B">
        <w:t>y</w:t>
      </w:r>
      <w:r w:rsidR="00F10C47" w:rsidRPr="001C5B3B">
        <w:t xml:space="preserve"> modro-zelené infrastruktury v prostoru náměstí</w:t>
      </w:r>
      <w:r w:rsidR="00341A06" w:rsidRPr="001C5B3B">
        <w:t xml:space="preserve"> </w:t>
      </w:r>
      <w:r w:rsidR="00F10C47" w:rsidRPr="001C5B3B">
        <w:t>a ulic Evropské a Jugoslávských partyzánů tak, jak jsou navrženy ve studii Vítězné náměstí</w:t>
      </w:r>
      <w:r w:rsidR="00FE5D1B" w:rsidRPr="001C5B3B">
        <w:t xml:space="preserve">. Navažte </w:t>
      </w:r>
      <w:r w:rsidRPr="001C5B3B">
        <w:t xml:space="preserve">i </w:t>
      </w:r>
      <w:r w:rsidR="00FE5D1B" w:rsidRPr="001C5B3B">
        <w:t xml:space="preserve">na řešení modrozelené infrastruktury ve studii Kampus Dejvice. </w:t>
      </w:r>
    </w:p>
    <w:p w14:paraId="16FFD2EC" w14:textId="77777777" w:rsidR="00977448" w:rsidRPr="001C5B3B" w:rsidRDefault="00977448" w:rsidP="003030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357"/>
      </w:pPr>
      <w:r w:rsidRPr="001C5B3B">
        <w:t>S ohledem na cílový stav náměstí a jeho propojení na univerzitní kampus navrhněte v prodloužení ulice Technické výsadbu stromů a využití prvků modro-zelené infrastruktury. Prostorové uspořádání a využití prvků modro-zelené infrastruktury v protažení ulice Technické tak, jak je navržené ve studii Vítězné náměstí není závazné.</w:t>
      </w:r>
    </w:p>
    <w:p w14:paraId="186F64B9" w14:textId="6E74EEF3" w:rsidR="007A0EA8" w:rsidRPr="001C5B3B" w:rsidRDefault="007A0EA8" w:rsidP="003030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357"/>
      </w:pPr>
      <w:r w:rsidRPr="001C5B3B">
        <w:t xml:space="preserve">V návrhu dostavby </w:t>
      </w:r>
      <w:r w:rsidR="007C07E5" w:rsidRPr="001C5B3B">
        <w:t xml:space="preserve">4. kvadrantu </w:t>
      </w:r>
      <w:r w:rsidRPr="001C5B3B">
        <w:t xml:space="preserve">do Šolínovy ulice </w:t>
      </w:r>
      <w:r w:rsidR="007C07E5" w:rsidRPr="001C5B3B">
        <w:t>zvažte</w:t>
      </w:r>
      <w:r w:rsidRPr="001C5B3B">
        <w:t xml:space="preserve"> i možnost zachování stávající</w:t>
      </w:r>
      <w:r w:rsidR="00BF105C" w:rsidRPr="001C5B3B">
        <w:t>ch vegetačních prvků</w:t>
      </w:r>
      <w:r w:rsidR="004C086F" w:rsidRPr="001C5B3B">
        <w:t xml:space="preserve">. </w:t>
      </w:r>
      <w:r w:rsidR="004C086F" w:rsidRPr="001C5B3B">
        <w:rPr>
          <w:shd w:val="clear" w:color="auto" w:fill="FFFFFF" w:themeFill="background1"/>
        </w:rPr>
        <w:t>Pokud nebude možné zachování stávajících vegetačních prvků, navrhněte v rámci ulice Šolínova nové stromořadí.</w:t>
      </w:r>
    </w:p>
    <w:p w14:paraId="35A3D7E9" w14:textId="4C632E93" w:rsidR="007A0EA8" w:rsidRPr="001C5B3B" w:rsidRDefault="007A0EA8" w:rsidP="003030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357"/>
      </w:pPr>
      <w:r w:rsidRPr="001C5B3B">
        <w:t>V návrhu veřejných prostranství a vnitrobloku dodržte koeficient zeleně požadovaný územním plánem</w:t>
      </w:r>
      <w:r w:rsidR="00F810AC" w:rsidRPr="001C5B3B">
        <w:t xml:space="preserve">. Koeficient zeleně (KZ) vztáhněte k celkové rozloze plochy SVJ </w:t>
      </w:r>
      <w:r w:rsidR="009C01F1" w:rsidRPr="001C5B3B">
        <w:t>–</w:t>
      </w:r>
      <w:r w:rsidR="00F810AC" w:rsidRPr="001C5B3B">
        <w:t xml:space="preserve"> 3</w:t>
      </w:r>
      <w:r w:rsidR="007C07E5" w:rsidRPr="001C5B3B">
        <w:t>,</w:t>
      </w:r>
      <w:r w:rsidR="00F810AC" w:rsidRPr="001C5B3B">
        <w:t>207</w:t>
      </w:r>
      <w:r w:rsidR="007C07E5" w:rsidRPr="001C5B3B">
        <w:t>4</w:t>
      </w:r>
      <w:r w:rsidR="00F810AC" w:rsidRPr="001C5B3B">
        <w:rPr>
          <w:b/>
          <w:bCs/>
          <w:sz w:val="20"/>
          <w:szCs w:val="20"/>
        </w:rPr>
        <w:t xml:space="preserve"> </w:t>
      </w:r>
      <w:r w:rsidR="007C07E5" w:rsidRPr="001C5B3B">
        <w:t>ha</w:t>
      </w:r>
      <w:r w:rsidR="00F810AC" w:rsidRPr="001C5B3B">
        <w:t xml:space="preserve"> a Vámi navržené výšce zástavby, přičemž KZ pro 5 NP je 0,1, pro 6 NP je 0,2</w:t>
      </w:r>
      <w:r w:rsidR="004C6936" w:rsidRPr="001C5B3B">
        <w:t xml:space="preserve"> a </w:t>
      </w:r>
      <w:r w:rsidR="00F810AC" w:rsidRPr="001C5B3B">
        <w:t>pro 7</w:t>
      </w:r>
      <w:r w:rsidR="00DC642F" w:rsidRPr="001C5B3B">
        <w:t>–</w:t>
      </w:r>
      <w:r w:rsidR="00F810AC" w:rsidRPr="001C5B3B">
        <w:t>8 NP je 0,2</w:t>
      </w:r>
      <w:r w:rsidR="004C6936" w:rsidRPr="001C5B3B">
        <w:t>5</w:t>
      </w:r>
      <w:r w:rsidR="00F810AC" w:rsidRPr="001C5B3B">
        <w:t>.</w:t>
      </w:r>
    </w:p>
    <w:p w14:paraId="085F48C8" w14:textId="77777777" w:rsidR="00037E82" w:rsidRPr="001C5B3B" w:rsidRDefault="00037E82">
      <w:pPr>
        <w:rPr>
          <w:b/>
          <w:sz w:val="36"/>
          <w:szCs w:val="36"/>
        </w:rPr>
      </w:pPr>
      <w:bookmarkStart w:id="46" w:name="_Toc104908017"/>
      <w:bookmarkStart w:id="47" w:name="_Toc104908126"/>
      <w:bookmarkStart w:id="48" w:name="_Toc104908756"/>
      <w:bookmarkStart w:id="49" w:name="_Toc104909326"/>
      <w:r w:rsidRPr="001C5B3B">
        <w:br w:type="page"/>
      </w:r>
    </w:p>
    <w:p w14:paraId="00000029" w14:textId="6104989A" w:rsidR="00FD53A5" w:rsidRPr="001C5B3B" w:rsidRDefault="00D348BE" w:rsidP="000D424E">
      <w:pPr>
        <w:pStyle w:val="Nadpis2"/>
      </w:pPr>
      <w:bookmarkStart w:id="50" w:name="_Toc105688722"/>
      <w:r w:rsidRPr="001C5B3B">
        <w:lastRenderedPageBreak/>
        <w:t>Doprava</w:t>
      </w:r>
      <w:bookmarkEnd w:id="46"/>
      <w:bookmarkEnd w:id="47"/>
      <w:bookmarkEnd w:id="48"/>
      <w:bookmarkEnd w:id="49"/>
      <w:bookmarkEnd w:id="50"/>
    </w:p>
    <w:p w14:paraId="1EFA71B1" w14:textId="45C745F6" w:rsidR="00D27BF1" w:rsidRPr="001C5B3B" w:rsidRDefault="00F10C47">
      <w:r w:rsidRPr="001C5B3B">
        <w:t xml:space="preserve">Vítězné náměstí je důležitým dopravním uzlem Prahy 6. Jeho současný stav výrazně upřednostňuje individuální automobilovou dopravu a řešení veřejných prostranství není z pohledu ostatních uživatelů příliš komfortní. Tuto situaci </w:t>
      </w:r>
      <w:proofErr w:type="gramStart"/>
      <w:r w:rsidRPr="001C5B3B">
        <w:t>řeší</w:t>
      </w:r>
      <w:proofErr w:type="gramEnd"/>
      <w:r w:rsidRPr="001C5B3B">
        <w:t xml:space="preserve"> </w:t>
      </w:r>
      <w:r w:rsidR="004B298F" w:rsidRPr="001C5B3B">
        <w:t xml:space="preserve">Koncepční </w:t>
      </w:r>
      <w:r w:rsidRPr="001C5B3B">
        <w:t>studie Vítězné náměstí</w:t>
      </w:r>
      <w:r w:rsidR="006F4EE1" w:rsidRPr="001C5B3B">
        <w:t xml:space="preserve"> (viz kapitola 4)</w:t>
      </w:r>
      <w:r w:rsidR="00D27BF1" w:rsidRPr="001C5B3B">
        <w:t>. D</w:t>
      </w:r>
      <w:r w:rsidRPr="001C5B3B">
        <w:t xml:space="preserve">opravní řešení 4. kvadrantu musí respektovat </w:t>
      </w:r>
      <w:r w:rsidR="004B298F" w:rsidRPr="001C5B3B">
        <w:t>K</w:t>
      </w:r>
      <w:r w:rsidR="006F4EE1" w:rsidRPr="001C5B3B">
        <w:t xml:space="preserve">oncepční </w:t>
      </w:r>
      <w:r w:rsidR="00D27BF1" w:rsidRPr="001C5B3B">
        <w:t xml:space="preserve">studii </w:t>
      </w:r>
      <w:r w:rsidR="002F09BC" w:rsidRPr="001C5B3B">
        <w:t>Vítězn</w:t>
      </w:r>
      <w:r w:rsidR="00D27BF1" w:rsidRPr="001C5B3B">
        <w:t xml:space="preserve">é náměstí </w:t>
      </w:r>
      <w:r w:rsidRPr="001C5B3B">
        <w:t xml:space="preserve">a navazovat na ni, mimo výjimky uvedené níže v textu. </w:t>
      </w:r>
    </w:p>
    <w:p w14:paraId="0000002C" w14:textId="0CEBC361" w:rsidR="00FD53A5" w:rsidRPr="001C5B3B" w:rsidRDefault="00F10C47">
      <w:r w:rsidRPr="001C5B3B">
        <w:t xml:space="preserve">Realizace finální podoby návrhu </w:t>
      </w:r>
      <w:r w:rsidR="004B298F" w:rsidRPr="001C5B3B">
        <w:t>K</w:t>
      </w:r>
      <w:r w:rsidR="006F4EE1" w:rsidRPr="001C5B3B">
        <w:t xml:space="preserve">oncepční </w:t>
      </w:r>
      <w:r w:rsidRPr="001C5B3B">
        <w:t xml:space="preserve">studie Vítězné náměstí je však </w:t>
      </w:r>
      <w:r w:rsidR="00F54A00" w:rsidRPr="001C5B3B">
        <w:t>podmíněna</w:t>
      </w:r>
      <w:r w:rsidRPr="001C5B3B">
        <w:t xml:space="preserve"> realizac</w:t>
      </w:r>
      <w:r w:rsidR="00F54A00" w:rsidRPr="001C5B3B">
        <w:t>í</w:t>
      </w:r>
      <w:r w:rsidRPr="001C5B3B">
        <w:t xml:space="preserve"> dopravních staveb v navazujícím území (komunikace Evropská – Svatovítská, tramvajová trať Nádraží Podbaba – Suchdol a tramvajová trať </w:t>
      </w:r>
      <w:proofErr w:type="spellStart"/>
      <w:r w:rsidRPr="001C5B3B">
        <w:t>Malovanka</w:t>
      </w:r>
      <w:proofErr w:type="spellEnd"/>
      <w:r w:rsidRPr="001C5B3B">
        <w:t xml:space="preserve"> – Stadion Strahov)</w:t>
      </w:r>
      <w:r w:rsidR="00E165DB" w:rsidRPr="001C5B3B">
        <w:t>, které umožní snížit zatížení území automobilovou a autobusovou dopravou, mj. výraznou redukcí počtu autobusových zastávek v území</w:t>
      </w:r>
      <w:r w:rsidRPr="001C5B3B">
        <w:t>.</w:t>
      </w:r>
      <w:r w:rsidR="00D27BF1" w:rsidRPr="001C5B3B">
        <w:t xml:space="preserve"> </w:t>
      </w:r>
      <w:r w:rsidRPr="001C5B3B">
        <w:t xml:space="preserve">Vzhledem k tomu, že není možné přesně určit předpokládaný harmonogram realizace finální podoby Vítězného náměstí, bude dostavba 4. kvadrantu navrhována na finální stav náměstí, avšak tak, aby realizace dostavby 4. kvadrantu byla možná i za stávajícího stavu náměstí a navazujících ulic, </w:t>
      </w:r>
      <w:r w:rsidR="00A53CA0" w:rsidRPr="001C5B3B">
        <w:t xml:space="preserve">a byla funkční i při postupné </w:t>
      </w:r>
      <w:r w:rsidRPr="001C5B3B">
        <w:t xml:space="preserve">realizaci pouze některé z etap navržených ve studii. </w:t>
      </w:r>
    </w:p>
    <w:p w14:paraId="65CDD802" w14:textId="77777777" w:rsidR="00742030" w:rsidRPr="001C5B3B" w:rsidRDefault="00742030" w:rsidP="00742030">
      <w:pPr>
        <w:pStyle w:val="Nadpis3"/>
      </w:pPr>
      <w:r w:rsidRPr="001C5B3B">
        <w:t>Úkoly k řešení:</w:t>
      </w:r>
    </w:p>
    <w:p w14:paraId="4B991F14" w14:textId="73B58A6F" w:rsidR="00937B87" w:rsidRPr="001C5B3B" w:rsidRDefault="00F10C47" w:rsidP="00BF105C">
      <w:pPr>
        <w:numPr>
          <w:ilvl w:val="0"/>
          <w:numId w:val="1"/>
        </w:numPr>
        <w:ind w:left="426"/>
      </w:pPr>
      <w:r w:rsidRPr="001C5B3B">
        <w:t xml:space="preserve">Dopravní napojení objektů 4. kvadrantu </w:t>
      </w:r>
      <w:r w:rsidR="00054C0A" w:rsidRPr="001C5B3B">
        <w:t>řešte</w:t>
      </w:r>
      <w:r w:rsidRPr="001C5B3B">
        <w:t xml:space="preserve"> z ulice Šolínovy. </w:t>
      </w:r>
      <w:r w:rsidR="00FB7628" w:rsidRPr="001C5B3B">
        <w:t>Minimalizujte počet vjezdů</w:t>
      </w:r>
      <w:r w:rsidR="00F54A00" w:rsidRPr="001C5B3B">
        <w:t xml:space="preserve"> do objektu</w:t>
      </w:r>
      <w:r w:rsidR="0067718F" w:rsidRPr="001C5B3B">
        <w:t>, minimálně však 2 vjezdy celkem.</w:t>
      </w:r>
      <w:r w:rsidR="00C17E34" w:rsidRPr="001C5B3B">
        <w:t xml:space="preserve"> Prověřte možnost vybudování samostatného vjezdu do </w:t>
      </w:r>
      <w:r w:rsidR="00F54A00" w:rsidRPr="001C5B3B">
        <w:t>budovy</w:t>
      </w:r>
      <w:r w:rsidR="00C17E34" w:rsidRPr="001C5B3B">
        <w:t xml:space="preserve"> VŠCHT, přípustn</w:t>
      </w:r>
      <w:r w:rsidR="001F39A4" w:rsidRPr="001C5B3B">
        <w:t>ý</w:t>
      </w:r>
      <w:r w:rsidR="00C17E34" w:rsidRPr="001C5B3B">
        <w:t xml:space="preserve"> však je i </w:t>
      </w:r>
      <w:r w:rsidR="005612BB" w:rsidRPr="001C5B3B">
        <w:t>společný vjezd</w:t>
      </w:r>
      <w:r w:rsidR="00C17E34" w:rsidRPr="001C5B3B">
        <w:t xml:space="preserve"> do objektu Fourth Quadrant a VŠCHT.</w:t>
      </w:r>
    </w:p>
    <w:p w14:paraId="50369FB9" w14:textId="6C1C91CF" w:rsidR="00937B87" w:rsidRPr="001C5B3B" w:rsidRDefault="00460F6E" w:rsidP="0030303D">
      <w:pPr>
        <w:numPr>
          <w:ilvl w:val="0"/>
          <w:numId w:val="1"/>
        </w:numPr>
        <w:ind w:left="426"/>
      </w:pPr>
      <w:r w:rsidRPr="001C5B3B">
        <w:t>R</w:t>
      </w:r>
      <w:r w:rsidR="00FB7628" w:rsidRPr="001C5B3B">
        <w:t xml:space="preserve">ampy do podzemních podlaží řešte v rámci objektů, ne v rámci veřejného prostranství. </w:t>
      </w:r>
    </w:p>
    <w:p w14:paraId="6DE38F19" w14:textId="36337C28" w:rsidR="0067718F" w:rsidRPr="001C5B3B" w:rsidRDefault="0067718F" w:rsidP="0067718F">
      <w:pPr>
        <w:numPr>
          <w:ilvl w:val="0"/>
          <w:numId w:val="1"/>
        </w:numPr>
        <w:ind w:left="426"/>
      </w:pPr>
      <w:r w:rsidRPr="001C5B3B">
        <w:t>Řešte vjezd do budov včetně zásobování obchodní části standardními nákladními vozidly v. 4,1m (bez návěsu), ostatní část garáží se světlou výškou pro standardní osobní vozidla v. 2,1</w:t>
      </w:r>
      <w:r w:rsidR="00EE7082" w:rsidRPr="001C5B3B">
        <w:t xml:space="preserve"> </w:t>
      </w:r>
      <w:r w:rsidRPr="001C5B3B">
        <w:t xml:space="preserve">m. </w:t>
      </w:r>
    </w:p>
    <w:p w14:paraId="19584B99" w14:textId="3CB50B7D" w:rsidR="00FB7628" w:rsidRPr="001C5B3B" w:rsidRDefault="0099692C" w:rsidP="0030303D">
      <w:pPr>
        <w:numPr>
          <w:ilvl w:val="0"/>
          <w:numId w:val="1"/>
        </w:numPr>
        <w:ind w:left="426"/>
      </w:pPr>
      <w:r w:rsidRPr="001C5B3B">
        <w:t xml:space="preserve">Návrh dopravního napojení </w:t>
      </w:r>
      <w:r w:rsidR="00054C0A" w:rsidRPr="001C5B3B">
        <w:t xml:space="preserve">musí být funkční </w:t>
      </w:r>
      <w:r w:rsidRPr="001C5B3B">
        <w:t>ve stávajícím stavu</w:t>
      </w:r>
      <w:r w:rsidR="009958C5" w:rsidRPr="001C5B3B">
        <w:t>, ale i</w:t>
      </w:r>
      <w:r w:rsidRPr="001C5B3B">
        <w:t xml:space="preserve"> ve finálním stavu</w:t>
      </w:r>
      <w:r w:rsidR="009958C5" w:rsidRPr="001C5B3B">
        <w:t xml:space="preserve"> a</w:t>
      </w:r>
      <w:r w:rsidRPr="001C5B3B">
        <w:t xml:space="preserve"> etap</w:t>
      </w:r>
      <w:r w:rsidR="00E165DB" w:rsidRPr="001C5B3B">
        <w:t>ě</w:t>
      </w:r>
      <w:r w:rsidRPr="001C5B3B">
        <w:t xml:space="preserve"> revitalizace Vítězného náměstí a přilehlých ulic tak, jak jsou navrženy ve studii Vítězné náměstí. </w:t>
      </w:r>
      <w:r w:rsidR="004413BF" w:rsidRPr="001C5B3B">
        <w:t>Návrh Šolínovy ulice z</w:t>
      </w:r>
      <w:r w:rsidR="00183687" w:rsidRPr="001C5B3B">
        <w:t xml:space="preserve"> Koncepční</w:t>
      </w:r>
      <w:r w:rsidR="004413BF" w:rsidRPr="001C5B3B">
        <w:t xml:space="preserve"> studie Vítězného náměstí není závazný ale pouze indikativní</w:t>
      </w:r>
      <w:r w:rsidR="00C17E34" w:rsidRPr="001C5B3B">
        <w:t>.</w:t>
      </w:r>
      <w:r w:rsidR="00A07EE5" w:rsidRPr="001C5B3B">
        <w:t xml:space="preserve"> </w:t>
      </w:r>
      <w:r w:rsidR="00FF47A4" w:rsidRPr="001C5B3B">
        <w:t>V návrhu dopravního napojení dostavby 4. kvadrantu je nutné respektovat</w:t>
      </w:r>
      <w:r w:rsidR="00A07EE5" w:rsidRPr="001C5B3B">
        <w:t xml:space="preserve"> </w:t>
      </w:r>
      <w:r w:rsidR="004413BF" w:rsidRPr="001C5B3B">
        <w:t>poč</w:t>
      </w:r>
      <w:r w:rsidR="009C01F1" w:rsidRPr="001C5B3B">
        <w:t>e</w:t>
      </w:r>
      <w:r w:rsidR="004413BF" w:rsidRPr="001C5B3B">
        <w:t>t zastávek a odstavů autobusů</w:t>
      </w:r>
      <w:r w:rsidR="006D4E02" w:rsidRPr="001C5B3B">
        <w:t xml:space="preserve"> </w:t>
      </w:r>
      <w:r w:rsidR="00FF47A4" w:rsidRPr="001C5B3B">
        <w:t>navržený ve studii Vítězného náměstí</w:t>
      </w:r>
      <w:r w:rsidR="00BF105C" w:rsidRPr="001C5B3B">
        <w:t>,</w:t>
      </w:r>
      <w:r w:rsidR="00FF47A4" w:rsidRPr="001C5B3B">
        <w:t xml:space="preserve"> a to především v etapě, kdy je již zrealizováno řešení Vítězného náměstí a prodloužení tramvajové trati na Strahov, ale není zrealizováno prodloužení tramvajové trati na Suchdol.</w:t>
      </w:r>
      <w:r w:rsidR="00A07EE5" w:rsidRPr="001C5B3B">
        <w:t xml:space="preserve"> </w:t>
      </w:r>
      <w:r w:rsidR="00E165DB" w:rsidRPr="001C5B3B">
        <w:t>V etapě uvažujte s jednosměrným provozem v Šolínově ulici v úseku Zikova – Jug</w:t>
      </w:r>
      <w:r w:rsidR="00DC642F" w:rsidRPr="001C5B3B">
        <w:t>oslávských</w:t>
      </w:r>
      <w:r w:rsidR="00E165DB" w:rsidRPr="001C5B3B">
        <w:t xml:space="preserve"> Partyzánů, obousměrným v úseku Zikova – Evropská; v cílovém stavu s obousměrným provozem v celé délce ulice.</w:t>
      </w:r>
    </w:p>
    <w:p w14:paraId="53E69070" w14:textId="3009100D" w:rsidR="00F54A00" w:rsidRPr="001C5B3B" w:rsidRDefault="00F10C47" w:rsidP="003030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357"/>
      </w:pPr>
      <w:r w:rsidRPr="001C5B3B">
        <w:t>Doprav</w:t>
      </w:r>
      <w:r w:rsidR="00460F6E" w:rsidRPr="001C5B3B">
        <w:t>u</w:t>
      </w:r>
      <w:r w:rsidRPr="001C5B3B">
        <w:t xml:space="preserve"> v klidu řeš</w:t>
      </w:r>
      <w:r w:rsidR="007A2981" w:rsidRPr="001C5B3B">
        <w:t>te</w:t>
      </w:r>
      <w:r w:rsidRPr="001C5B3B">
        <w:t xml:space="preserve"> v navržených objektech</w:t>
      </w:r>
      <w:r w:rsidR="00E06296" w:rsidRPr="001C5B3B">
        <w:t xml:space="preserve"> </w:t>
      </w:r>
      <w:r w:rsidR="00835E5E" w:rsidRPr="001C5B3B">
        <w:t xml:space="preserve">v podzemních podlažích </w:t>
      </w:r>
      <w:r w:rsidRPr="001C5B3B">
        <w:t xml:space="preserve">tak, aby provoz objektů nebyl závislý na využívání parkovacích míst mimo dostavbu 4. </w:t>
      </w:r>
      <w:r w:rsidR="00F54A00" w:rsidRPr="001C5B3B">
        <w:t xml:space="preserve">kvadrantu. </w:t>
      </w:r>
      <w:r w:rsidR="009E5A01" w:rsidRPr="001C5B3B">
        <w:t xml:space="preserve">Podzemní prostory garáží Fourth Quadrant a VŠCHT musí být oddělené, uzavíratelné, a to i protipožárně. </w:t>
      </w:r>
    </w:p>
    <w:p w14:paraId="00000031" w14:textId="16F0B33D" w:rsidR="00FD53A5" w:rsidRPr="001C5B3B" w:rsidRDefault="00835E5E" w:rsidP="003030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357"/>
      </w:pPr>
      <w:r w:rsidRPr="001C5B3B">
        <w:t>P</w:t>
      </w:r>
      <w:r w:rsidR="00C17E34" w:rsidRPr="001C5B3B">
        <w:t xml:space="preserve">očet parkovacích stání </w:t>
      </w:r>
      <w:r w:rsidRPr="001C5B3B">
        <w:t xml:space="preserve">navrhněte </w:t>
      </w:r>
      <w:r w:rsidR="00C17E34" w:rsidRPr="001C5B3B">
        <w:t>s ohledem na návrh funkčního využití objektů</w:t>
      </w:r>
      <w:r w:rsidR="00FC44DA" w:rsidRPr="001C5B3B">
        <w:t>.</w:t>
      </w:r>
    </w:p>
    <w:p w14:paraId="278B04E0" w14:textId="75F2F3F4" w:rsidR="00E165DB" w:rsidRPr="001C5B3B" w:rsidRDefault="00814468" w:rsidP="00E165DB">
      <w:pPr>
        <w:numPr>
          <w:ilvl w:val="0"/>
          <w:numId w:val="1"/>
        </w:numPr>
        <w:ind w:left="426"/>
      </w:pPr>
      <w:r w:rsidRPr="001C5B3B">
        <w:t>Dle</w:t>
      </w:r>
      <w:r w:rsidR="00F10C47" w:rsidRPr="001C5B3B">
        <w:t xml:space="preserve"> navržené</w:t>
      </w:r>
      <w:r w:rsidRPr="001C5B3B">
        <w:t>ho funkčního</w:t>
      </w:r>
      <w:r w:rsidR="00F10C47" w:rsidRPr="001C5B3B">
        <w:t xml:space="preserve"> využití budov </w:t>
      </w:r>
      <w:r w:rsidR="005612BB" w:rsidRPr="001C5B3B">
        <w:t>navrhněte</w:t>
      </w:r>
      <w:r w:rsidR="00F10C47" w:rsidRPr="001C5B3B">
        <w:t xml:space="preserve"> </w:t>
      </w:r>
      <w:r w:rsidR="00F54A00" w:rsidRPr="001C5B3B">
        <w:t xml:space="preserve">i </w:t>
      </w:r>
      <w:r w:rsidRPr="001C5B3B">
        <w:t xml:space="preserve">adekvátní </w:t>
      </w:r>
      <w:r w:rsidR="00F10C47" w:rsidRPr="001C5B3B">
        <w:t>parkování jízdních kol</w:t>
      </w:r>
      <w:r w:rsidR="00E165DB" w:rsidRPr="001C5B3B">
        <w:t xml:space="preserve"> a příjezd k</w:t>
      </w:r>
      <w:r w:rsidR="00D74EC0" w:rsidRPr="001C5B3B">
        <w:t> </w:t>
      </w:r>
      <w:r w:rsidR="00E165DB" w:rsidRPr="001C5B3B">
        <w:t>nim</w:t>
      </w:r>
      <w:r w:rsidR="00D74EC0" w:rsidRPr="001C5B3B">
        <w:t>.</w:t>
      </w:r>
    </w:p>
    <w:p w14:paraId="0485C364" w14:textId="594CA8F6" w:rsidR="005C7B78" w:rsidRPr="001C5B3B" w:rsidRDefault="005C7B78" w:rsidP="009774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357"/>
      </w:pPr>
      <w:r w:rsidRPr="001C5B3B">
        <w:t>Vstup do vestibulu metra z obchodní pasáže a propojení vestibulu metra a BUS zastávek v ul</w:t>
      </w:r>
      <w:r w:rsidR="00DC642F" w:rsidRPr="001C5B3B">
        <w:t>ici</w:t>
      </w:r>
      <w:r w:rsidRPr="001C5B3B">
        <w:t xml:space="preserve"> Evropská integrujte do objektu. Východiskem pro řešení je návrh obsažený ve studii na Vítězné náměstí.</w:t>
      </w:r>
    </w:p>
    <w:p w14:paraId="2CC264D2" w14:textId="77777777" w:rsidR="00037E82" w:rsidRPr="001C5B3B" w:rsidRDefault="00037E82">
      <w:pPr>
        <w:rPr>
          <w:b/>
          <w:sz w:val="36"/>
          <w:szCs w:val="36"/>
        </w:rPr>
      </w:pPr>
      <w:bookmarkStart w:id="51" w:name="_Toc104908018"/>
      <w:bookmarkStart w:id="52" w:name="_Toc104908127"/>
      <w:bookmarkStart w:id="53" w:name="_Toc104908757"/>
      <w:bookmarkStart w:id="54" w:name="_Toc104909327"/>
      <w:r w:rsidRPr="001C5B3B">
        <w:br w:type="page"/>
      </w:r>
    </w:p>
    <w:p w14:paraId="34B80D04" w14:textId="6BBC2AC9" w:rsidR="00B30DC3" w:rsidRPr="001C5B3B" w:rsidRDefault="00D348BE" w:rsidP="000D424E">
      <w:pPr>
        <w:pStyle w:val="Nadpis2"/>
      </w:pPr>
      <w:bookmarkStart w:id="55" w:name="_Toc105688723"/>
      <w:r w:rsidRPr="001C5B3B">
        <w:lastRenderedPageBreak/>
        <w:t>Technická infrastruktura a energetická koncepce budov</w:t>
      </w:r>
      <w:bookmarkEnd w:id="51"/>
      <w:bookmarkEnd w:id="52"/>
      <w:bookmarkEnd w:id="53"/>
      <w:bookmarkEnd w:id="54"/>
      <w:bookmarkEnd w:id="55"/>
    </w:p>
    <w:p w14:paraId="020D5356" w14:textId="76963B1A" w:rsidR="00C34486" w:rsidRPr="001C5B3B" w:rsidRDefault="00C34486" w:rsidP="00347E97">
      <w:pPr>
        <w:spacing w:after="0"/>
      </w:pPr>
      <w:r w:rsidRPr="001C5B3B">
        <w:t>Řešené území je součástí stabilizovaného území s dostatečně kapacitním vedení</w:t>
      </w:r>
      <w:r w:rsidR="00FF47A4" w:rsidRPr="001C5B3B">
        <w:t>m</w:t>
      </w:r>
      <w:r w:rsidRPr="001C5B3B">
        <w:t xml:space="preserve"> jednotlivých sítí technické infrastruktury. Dostavba 4. kvadrantu bude napojena na</w:t>
      </w:r>
      <w:r w:rsidR="00347E97" w:rsidRPr="001C5B3B">
        <w:t xml:space="preserve"> </w:t>
      </w:r>
      <w:r w:rsidRPr="001C5B3B">
        <w:t>stávající vodovodní řad z ul</w:t>
      </w:r>
      <w:r w:rsidR="00DC642F" w:rsidRPr="001C5B3B">
        <w:t>ice</w:t>
      </w:r>
      <w:r w:rsidRPr="001C5B3B">
        <w:t xml:space="preserve"> Šolínova</w:t>
      </w:r>
      <w:r w:rsidR="00E714CB" w:rsidRPr="001C5B3B">
        <w:t xml:space="preserve"> a </w:t>
      </w:r>
      <w:r w:rsidR="00347E97" w:rsidRPr="001C5B3B">
        <w:t xml:space="preserve">na </w:t>
      </w:r>
      <w:r w:rsidR="00F54A00" w:rsidRPr="001C5B3B">
        <w:t xml:space="preserve">rozvod elektrické energie </w:t>
      </w:r>
      <w:r w:rsidR="00C36F0B" w:rsidRPr="001C5B3B">
        <w:t xml:space="preserve">do ulice </w:t>
      </w:r>
      <w:r w:rsidRPr="001C5B3B">
        <w:t>Jugoslávských partyzánů</w:t>
      </w:r>
      <w:bookmarkStart w:id="56" w:name="_heading=h.75yzvrnv961e" w:colFirst="0" w:colLast="0"/>
      <w:bookmarkEnd w:id="56"/>
      <w:r w:rsidR="00C36F0B" w:rsidRPr="001C5B3B">
        <w:t>. M</w:t>
      </w:r>
      <w:r w:rsidR="00347E97" w:rsidRPr="001C5B3B">
        <w:t xml:space="preserve">ožné je i napojení </w:t>
      </w:r>
      <w:r w:rsidRPr="001C5B3B">
        <w:t>na páteřní horkovod</w:t>
      </w:r>
      <w:r w:rsidR="00C36F0B" w:rsidRPr="001C5B3B">
        <w:t xml:space="preserve"> v ulici Šolínova.</w:t>
      </w:r>
      <w:r w:rsidR="00347E97" w:rsidRPr="001C5B3B">
        <w:t xml:space="preserve"> Napojení objektu na plyn se předpokládá</w:t>
      </w:r>
      <w:r w:rsidR="00FF47A4" w:rsidRPr="001C5B3B">
        <w:t xml:space="preserve"> z ul</w:t>
      </w:r>
      <w:r w:rsidR="00DC642F" w:rsidRPr="001C5B3B">
        <w:t>ice</w:t>
      </w:r>
      <w:r w:rsidR="00FF47A4" w:rsidRPr="001C5B3B">
        <w:t xml:space="preserve"> Šolínova</w:t>
      </w:r>
      <w:r w:rsidR="00347E97" w:rsidRPr="001C5B3B">
        <w:t>.</w:t>
      </w:r>
    </w:p>
    <w:p w14:paraId="387410E4" w14:textId="7D470927" w:rsidR="007506C6" w:rsidRPr="001C5B3B" w:rsidRDefault="007506C6" w:rsidP="007506C6">
      <w:r w:rsidRPr="001C5B3B">
        <w:t xml:space="preserve">Zájmem zadavatele i VŠCHT v rámci dostavby 4. kvadrantu </w:t>
      </w:r>
      <w:r w:rsidR="00FF47A4" w:rsidRPr="001C5B3B">
        <w:t xml:space="preserve">je </w:t>
      </w:r>
      <w:r w:rsidRPr="001C5B3B">
        <w:t>využ</w:t>
      </w:r>
      <w:r w:rsidR="00E165DB" w:rsidRPr="001C5B3B">
        <w:t>ít</w:t>
      </w:r>
      <w:r w:rsidRPr="001C5B3B">
        <w:t xml:space="preserve"> nejnovějších technologií s cílem vybudovat energeticky efektivní budov</w:t>
      </w:r>
      <w:r w:rsidR="00347E97" w:rsidRPr="001C5B3B">
        <w:t>u</w:t>
      </w:r>
      <w:r w:rsidRPr="001C5B3B">
        <w:t xml:space="preserve"> s minimálními provozními náklady</w:t>
      </w:r>
      <w:r w:rsidR="00347E97" w:rsidRPr="001C5B3B">
        <w:t>.</w:t>
      </w:r>
    </w:p>
    <w:p w14:paraId="24E4AC48" w14:textId="77777777" w:rsidR="00742030" w:rsidRPr="001C5B3B" w:rsidRDefault="00742030" w:rsidP="00742030">
      <w:pPr>
        <w:pStyle w:val="Nadpis3"/>
      </w:pPr>
      <w:r w:rsidRPr="001C5B3B">
        <w:t>Úkoly k řešení:</w:t>
      </w:r>
    </w:p>
    <w:p w14:paraId="64E644E9" w14:textId="3A3F8742" w:rsidR="00B30DC3" w:rsidRPr="001C5B3B" w:rsidRDefault="00347E97" w:rsidP="0030303D">
      <w:pPr>
        <w:pStyle w:val="Odstavecseseznamem"/>
        <w:numPr>
          <w:ilvl w:val="0"/>
          <w:numId w:val="1"/>
        </w:numPr>
        <w:ind w:left="426" w:hanging="357"/>
        <w:contextualSpacing w:val="0"/>
        <w:jc w:val="both"/>
        <w:rPr>
          <w:rFonts w:eastAsia="Times New Roman"/>
        </w:rPr>
      </w:pPr>
      <w:r w:rsidRPr="001C5B3B">
        <w:rPr>
          <w:rFonts w:eastAsia="Times New Roman"/>
        </w:rPr>
        <w:t xml:space="preserve">Navrhněte </w:t>
      </w:r>
      <w:r w:rsidR="00B30DC3" w:rsidRPr="001C5B3B">
        <w:rPr>
          <w:rFonts w:eastAsia="Times New Roman"/>
        </w:rPr>
        <w:t xml:space="preserve">celkovou energetickou koncepci </w:t>
      </w:r>
      <w:r w:rsidRPr="001C5B3B">
        <w:rPr>
          <w:rFonts w:eastAsia="Times New Roman"/>
        </w:rPr>
        <w:t>objektů, zvolte</w:t>
      </w:r>
      <w:r w:rsidR="00B30DC3" w:rsidRPr="001C5B3B">
        <w:rPr>
          <w:rFonts w:eastAsia="Times New Roman"/>
        </w:rPr>
        <w:t xml:space="preserve"> vhodn</w:t>
      </w:r>
      <w:r w:rsidRPr="001C5B3B">
        <w:rPr>
          <w:rFonts w:eastAsia="Times New Roman"/>
        </w:rPr>
        <w:t>ý</w:t>
      </w:r>
      <w:r w:rsidR="00B30DC3" w:rsidRPr="001C5B3B">
        <w:rPr>
          <w:rFonts w:eastAsia="Times New Roman"/>
        </w:rPr>
        <w:t xml:space="preserve"> způsob vytápění, větrání a řešení energií, který bude technicky a ekonomicky přiměřený, jak při realizaci stavby, tak v následném provozu.</w:t>
      </w:r>
      <w:r w:rsidR="00556071" w:rsidRPr="001C5B3B">
        <w:rPr>
          <w:rFonts w:eastAsia="Times New Roman"/>
        </w:rPr>
        <w:t xml:space="preserve"> </w:t>
      </w:r>
    </w:p>
    <w:p w14:paraId="5A455330" w14:textId="14C89E06" w:rsidR="001C5B3B" w:rsidRPr="001C5B3B" w:rsidRDefault="00BA7BDA" w:rsidP="001C5B3B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357"/>
        <w:contextualSpacing w:val="0"/>
        <w:jc w:val="both"/>
      </w:pPr>
      <w:r w:rsidRPr="001C5B3B">
        <w:t xml:space="preserve">Ve svém návrhu preferujte řešení, </w:t>
      </w:r>
      <w:r w:rsidR="000D424E" w:rsidRPr="001C5B3B">
        <w:t xml:space="preserve">při kterém bude objekt VŠCHT a Fourth Quadrant fungovat maximálně nezávisle. </w:t>
      </w:r>
      <w:r w:rsidRPr="001C5B3B">
        <w:t xml:space="preserve">Pakliže není </w:t>
      </w:r>
      <w:r w:rsidRPr="001C5B3B">
        <w:rPr>
          <w:rFonts w:eastAsia="Times New Roman"/>
        </w:rPr>
        <w:t>možné realizovat některou část infrastruktury samostatně pro Fourth Quadrant a VŠCHT, je možné uvažovat o tom, že se příslušná část infrastruktury vybuduje jako společná</w:t>
      </w:r>
      <w:r w:rsidR="001C5B3B">
        <w:rPr>
          <w:rFonts w:eastAsia="Times New Roman"/>
        </w:rPr>
        <w:t>.</w:t>
      </w:r>
    </w:p>
    <w:p w14:paraId="7E2A317C" w14:textId="77777777" w:rsidR="001C5B3B" w:rsidRDefault="001C5B3B" w:rsidP="001C5B3B">
      <w:pPr>
        <w:pBdr>
          <w:top w:val="nil"/>
          <w:left w:val="nil"/>
          <w:bottom w:val="nil"/>
          <w:right w:val="nil"/>
          <w:between w:val="nil"/>
        </w:pBdr>
        <w:spacing w:before="800" w:after="0"/>
        <w:ind w:left="68"/>
        <w:jc w:val="both"/>
      </w:pPr>
    </w:p>
    <w:p w14:paraId="69D8848C" w14:textId="77777777" w:rsidR="001C5B3B" w:rsidRDefault="001C5B3B" w:rsidP="001C5B3B">
      <w:pPr>
        <w:pBdr>
          <w:top w:val="nil"/>
          <w:left w:val="nil"/>
          <w:bottom w:val="nil"/>
          <w:right w:val="nil"/>
          <w:between w:val="nil"/>
        </w:pBdr>
        <w:spacing w:before="800" w:after="0"/>
        <w:ind w:left="68"/>
        <w:jc w:val="both"/>
      </w:pPr>
    </w:p>
    <w:p w14:paraId="6F00CE4E" w14:textId="77777777" w:rsidR="001C5B3B" w:rsidRDefault="001C5B3B" w:rsidP="001C5B3B">
      <w:pPr>
        <w:pBdr>
          <w:top w:val="nil"/>
          <w:left w:val="nil"/>
          <w:bottom w:val="nil"/>
          <w:right w:val="nil"/>
          <w:between w:val="nil"/>
        </w:pBdr>
        <w:spacing w:before="800" w:after="0"/>
        <w:ind w:left="68"/>
        <w:jc w:val="both"/>
      </w:pPr>
    </w:p>
    <w:p w14:paraId="0D789EC0" w14:textId="77777777" w:rsidR="001C5B3B" w:rsidRDefault="001C5B3B" w:rsidP="001C5B3B">
      <w:pPr>
        <w:pBdr>
          <w:top w:val="nil"/>
          <w:left w:val="nil"/>
          <w:bottom w:val="nil"/>
          <w:right w:val="nil"/>
          <w:between w:val="nil"/>
        </w:pBdr>
        <w:spacing w:before="800" w:after="0"/>
        <w:ind w:left="68"/>
        <w:jc w:val="both"/>
      </w:pPr>
    </w:p>
    <w:p w14:paraId="23CFA1BC" w14:textId="77777777" w:rsidR="001C5B3B" w:rsidRDefault="001C5B3B" w:rsidP="001C5B3B">
      <w:pPr>
        <w:pBdr>
          <w:top w:val="nil"/>
          <w:left w:val="nil"/>
          <w:bottom w:val="nil"/>
          <w:right w:val="nil"/>
          <w:between w:val="nil"/>
        </w:pBdr>
        <w:spacing w:before="800" w:after="0"/>
        <w:ind w:left="68"/>
        <w:jc w:val="both"/>
      </w:pPr>
    </w:p>
    <w:p w14:paraId="66059495" w14:textId="676EE18C" w:rsidR="00C006BE" w:rsidRPr="001C5B3B" w:rsidRDefault="001C5B3B" w:rsidP="001C5B3B">
      <w:pPr>
        <w:pBdr>
          <w:top w:val="nil"/>
          <w:left w:val="nil"/>
          <w:bottom w:val="nil"/>
          <w:right w:val="nil"/>
          <w:between w:val="nil"/>
        </w:pBdr>
        <w:spacing w:before="800" w:after="0"/>
        <w:ind w:left="68"/>
        <w:jc w:val="both"/>
        <w:rPr>
          <w:b/>
          <w:bCs/>
        </w:rPr>
      </w:pPr>
      <w:r w:rsidRPr="001C5B3B">
        <w:rPr>
          <w:b/>
          <w:bCs/>
        </w:rPr>
        <w:t>Přílohou zadání bude stavební program Fourth Quadrant a VŠCHT</w:t>
      </w:r>
    </w:p>
    <w:p w14:paraId="718AAA15" w14:textId="1F298777" w:rsidR="00C006BE" w:rsidRPr="001C5B3B" w:rsidRDefault="00C006BE" w:rsidP="00C006BE">
      <w:pPr>
        <w:rPr>
          <w:b/>
          <w:sz w:val="48"/>
          <w:szCs w:val="48"/>
        </w:rPr>
      </w:pPr>
    </w:p>
    <w:sectPr w:rsidR="00C006BE" w:rsidRPr="001C5B3B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07373" w14:textId="77777777" w:rsidR="007C540F" w:rsidRDefault="007C540F">
      <w:pPr>
        <w:spacing w:before="0" w:after="0"/>
      </w:pPr>
      <w:r>
        <w:separator/>
      </w:r>
    </w:p>
  </w:endnote>
  <w:endnote w:type="continuationSeparator" w:id="0">
    <w:p w14:paraId="4395AB46" w14:textId="77777777" w:rsidR="007C540F" w:rsidRDefault="007C54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Fangsong Std R">
    <w:altName w:val="MS Gothic"/>
    <w:panose1 w:val="020B0604020202020204"/>
    <w:charset w:val="80"/>
    <w:family w:val="roman"/>
    <w:notTrueType/>
    <w:pitch w:val="variable"/>
    <w:sig w:usb0="00000000" w:usb1="0A0F1810" w:usb2="00000016" w:usb3="00000000" w:csb0="0006000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enomen Sans">
    <w:panose1 w:val="020B0604020202020204"/>
    <w:charset w:val="00"/>
    <w:family w:val="auto"/>
    <w:notTrueType/>
    <w:pitch w:val="variable"/>
    <w:sig w:usb0="00000007" w:usb1="00000001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463BEC59" w:rsidR="00FD53A5" w:rsidRDefault="00F10C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E7456">
      <w:rPr>
        <w:noProof/>
        <w:color w:val="000000"/>
      </w:rPr>
      <w:t>2</w:t>
    </w:r>
    <w:r>
      <w:rPr>
        <w:color w:val="000000"/>
      </w:rPr>
      <w:fldChar w:fldCharType="end"/>
    </w:r>
  </w:p>
  <w:p w14:paraId="00000039" w14:textId="77777777" w:rsidR="00FD53A5" w:rsidRDefault="00FD53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25C3808C" w:rsidR="00FD53A5" w:rsidRDefault="00F10C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72CEC">
      <w:rPr>
        <w:noProof/>
        <w:color w:val="000000"/>
      </w:rPr>
      <w:t>1</w:t>
    </w:r>
    <w:r>
      <w:rPr>
        <w:color w:val="000000"/>
      </w:rPr>
      <w:fldChar w:fldCharType="end"/>
    </w:r>
  </w:p>
  <w:p w14:paraId="00000037" w14:textId="77777777" w:rsidR="00FD53A5" w:rsidRDefault="00FD53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35E9B" w14:textId="77777777" w:rsidR="007C540F" w:rsidRDefault="007C540F">
      <w:pPr>
        <w:spacing w:before="0" w:after="0"/>
      </w:pPr>
      <w:r>
        <w:separator/>
      </w:r>
    </w:p>
  </w:footnote>
  <w:footnote w:type="continuationSeparator" w:id="0">
    <w:p w14:paraId="479F8E11" w14:textId="77777777" w:rsidR="007C540F" w:rsidRDefault="007C540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6C6"/>
    <w:multiLevelType w:val="multilevel"/>
    <w:tmpl w:val="23CE1C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3C7D5B"/>
    <w:multiLevelType w:val="multilevel"/>
    <w:tmpl w:val="46F470AC"/>
    <w:numStyleLink w:val="slovanseznamPENTA"/>
  </w:abstractNum>
  <w:abstractNum w:abstractNumId="2" w15:restartNumberingAfterBreak="0">
    <w:nsid w:val="0E73713B"/>
    <w:multiLevelType w:val="hybridMultilevel"/>
    <w:tmpl w:val="8126F3E6"/>
    <w:lvl w:ilvl="0" w:tplc="AEFA1F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16FCD"/>
    <w:multiLevelType w:val="hybridMultilevel"/>
    <w:tmpl w:val="CDAA7F12"/>
    <w:lvl w:ilvl="0" w:tplc="3AA8A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52F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06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409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CF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2A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AF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66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45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514690"/>
    <w:multiLevelType w:val="hybridMultilevel"/>
    <w:tmpl w:val="8AD23BDC"/>
    <w:lvl w:ilvl="0" w:tplc="ECE6D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E20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CF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1C2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4B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EB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A9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D02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3C3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B10520"/>
    <w:multiLevelType w:val="multilevel"/>
    <w:tmpl w:val="A09CFC1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55B5C8A"/>
    <w:multiLevelType w:val="hybridMultilevel"/>
    <w:tmpl w:val="67F812B6"/>
    <w:lvl w:ilvl="0" w:tplc="1C7883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A3579"/>
    <w:multiLevelType w:val="hybridMultilevel"/>
    <w:tmpl w:val="43683B1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276B64"/>
    <w:multiLevelType w:val="multilevel"/>
    <w:tmpl w:val="C750031A"/>
    <w:styleLink w:val="Styl2"/>
    <w:lvl w:ilvl="0">
      <w:start w:val="1"/>
      <w:numFmt w:val="bullet"/>
      <w:pStyle w:val="Seznamsodrkami"/>
      <w:lvlText w:val="–"/>
      <w:lvlJc w:val="left"/>
      <w:pPr>
        <w:tabs>
          <w:tab w:val="num" w:pos="397"/>
        </w:tabs>
        <w:ind w:left="340" w:hanging="340"/>
      </w:pPr>
      <w:rPr>
        <w:rFonts w:ascii="Arial" w:hAnsi="Arial" w:hint="default"/>
      </w:rPr>
    </w:lvl>
    <w:lvl w:ilvl="1">
      <w:start w:val="1"/>
      <w:numFmt w:val="bullet"/>
      <w:pStyle w:val="Seznamsodrkami2"/>
      <w:lvlText w:val="–"/>
      <w:lvlJc w:val="left"/>
      <w:pPr>
        <w:tabs>
          <w:tab w:val="num" w:pos="1304"/>
        </w:tabs>
        <w:ind w:left="907" w:hanging="340"/>
      </w:pPr>
      <w:rPr>
        <w:rFonts w:ascii="Arial" w:hAnsi="Arial" w:hint="default"/>
      </w:rPr>
    </w:lvl>
    <w:lvl w:ilvl="2">
      <w:start w:val="1"/>
      <w:numFmt w:val="bullet"/>
      <w:pStyle w:val="Seznamsodrkami3"/>
      <w:lvlText w:val="–"/>
      <w:lvlJc w:val="left"/>
      <w:pPr>
        <w:ind w:left="1474" w:hanging="340"/>
      </w:pPr>
      <w:rPr>
        <w:rFonts w:ascii="Arial" w:hAnsi="Arial" w:hint="default"/>
      </w:rPr>
    </w:lvl>
    <w:lvl w:ilvl="3">
      <w:start w:val="1"/>
      <w:numFmt w:val="bullet"/>
      <w:pStyle w:val="Seznamsodrkami4"/>
      <w:lvlText w:val="–"/>
      <w:lvlJc w:val="left"/>
      <w:pPr>
        <w:tabs>
          <w:tab w:val="num" w:pos="3119"/>
        </w:tabs>
        <w:ind w:left="2041" w:hanging="340"/>
      </w:pPr>
      <w:rPr>
        <w:rFonts w:ascii="Arial" w:hAnsi="Arial" w:hint="default"/>
      </w:rPr>
    </w:lvl>
    <w:lvl w:ilvl="4">
      <w:start w:val="1"/>
      <w:numFmt w:val="bullet"/>
      <w:pStyle w:val="Seznamsodrkami5"/>
      <w:lvlText w:val="–"/>
      <w:lvlJc w:val="left"/>
      <w:pPr>
        <w:ind w:left="2608" w:hanging="340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535" w:firstLine="45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442" w:firstLine="45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6349" w:firstLine="45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7256" w:firstLine="454"/>
      </w:pPr>
      <w:rPr>
        <w:rFonts w:ascii="Arial" w:hAnsi="Arial" w:hint="default"/>
      </w:rPr>
    </w:lvl>
  </w:abstractNum>
  <w:abstractNum w:abstractNumId="9" w15:restartNumberingAfterBreak="0">
    <w:nsid w:val="36952A50"/>
    <w:multiLevelType w:val="multilevel"/>
    <w:tmpl w:val="05CA93D2"/>
    <w:lvl w:ilvl="0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9D01C69"/>
    <w:multiLevelType w:val="hybridMultilevel"/>
    <w:tmpl w:val="F47E2D10"/>
    <w:lvl w:ilvl="0" w:tplc="5524D9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1441A"/>
    <w:multiLevelType w:val="hybridMultilevel"/>
    <w:tmpl w:val="D83881FE"/>
    <w:lvl w:ilvl="0" w:tplc="AEFA1F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A6BA3"/>
    <w:multiLevelType w:val="hybridMultilevel"/>
    <w:tmpl w:val="D2B88478"/>
    <w:lvl w:ilvl="0" w:tplc="DA8A845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4E2DC3"/>
    <w:multiLevelType w:val="multilevel"/>
    <w:tmpl w:val="D57C866E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AF123D"/>
    <w:multiLevelType w:val="multilevel"/>
    <w:tmpl w:val="46F470AC"/>
    <w:styleLink w:val="slovanseznamPENTA"/>
    <w:lvl w:ilvl="0">
      <w:start w:val="1"/>
      <w:numFmt w:val="decimal"/>
      <w:pStyle w:val="slovansezna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2"/>
      <w:lvlText w:val="%2."/>
      <w:lvlJc w:val="left"/>
      <w:pPr>
        <w:ind w:left="907" w:hanging="340"/>
      </w:pPr>
      <w:rPr>
        <w:rFonts w:hint="default"/>
      </w:rPr>
    </w:lvl>
    <w:lvl w:ilvl="2">
      <w:start w:val="1"/>
      <w:numFmt w:val="lowerRoman"/>
      <w:pStyle w:val="slovanseznam3"/>
      <w:lvlText w:val="%3."/>
      <w:lvlJc w:val="left"/>
      <w:pPr>
        <w:tabs>
          <w:tab w:val="num" w:pos="1134"/>
        </w:tabs>
        <w:ind w:left="1474" w:hanging="340"/>
      </w:pPr>
      <w:rPr>
        <w:rFonts w:hint="default"/>
      </w:rPr>
    </w:lvl>
    <w:lvl w:ilvl="3">
      <w:start w:val="1"/>
      <w:numFmt w:val="decimal"/>
      <w:pStyle w:val="slovanseznam4"/>
      <w:lvlText w:val="%4."/>
      <w:lvlJc w:val="left"/>
      <w:pPr>
        <w:tabs>
          <w:tab w:val="num" w:pos="1701"/>
        </w:tabs>
        <w:ind w:left="2041" w:hanging="340"/>
      </w:pPr>
      <w:rPr>
        <w:rFonts w:hint="default"/>
      </w:rPr>
    </w:lvl>
    <w:lvl w:ilvl="4">
      <w:start w:val="1"/>
      <w:numFmt w:val="lowerLetter"/>
      <w:pStyle w:val="slovanseznam5"/>
      <w:lvlText w:val="%5."/>
      <w:lvlJc w:val="left"/>
      <w:pPr>
        <w:ind w:left="2608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66909F0"/>
    <w:multiLevelType w:val="multilevel"/>
    <w:tmpl w:val="972E476E"/>
    <w:lvl w:ilvl="0">
      <w:start w:val="1"/>
      <w:numFmt w:val="decimal"/>
      <w:lvlText w:val="%1"/>
      <w:lvlJc w:val="left"/>
      <w:pPr>
        <w:ind w:left="3408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56576FF"/>
    <w:multiLevelType w:val="hybridMultilevel"/>
    <w:tmpl w:val="CB40EC7A"/>
    <w:lvl w:ilvl="0" w:tplc="A684B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C0041"/>
    <w:multiLevelType w:val="hybridMultilevel"/>
    <w:tmpl w:val="98A0BDCE"/>
    <w:lvl w:ilvl="0" w:tplc="1FD0C028">
      <w:start w:val="1"/>
      <w:numFmt w:val="bullet"/>
      <w:pStyle w:val="bulletlis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7CF17462"/>
    <w:multiLevelType w:val="hybridMultilevel"/>
    <w:tmpl w:val="23306E66"/>
    <w:lvl w:ilvl="0" w:tplc="AEFA1F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326638">
    <w:abstractNumId w:val="9"/>
  </w:num>
  <w:num w:numId="2" w16cid:durableId="40716837">
    <w:abstractNumId w:val="5"/>
  </w:num>
  <w:num w:numId="3" w16cid:durableId="1245991490">
    <w:abstractNumId w:val="8"/>
    <w:lvlOverride w:ilvl="0">
      <w:lvl w:ilvl="0">
        <w:start w:val="1"/>
        <w:numFmt w:val="bullet"/>
        <w:pStyle w:val="Seznamsodrkami"/>
        <w:lvlText w:val="–"/>
        <w:lvlJc w:val="left"/>
        <w:pPr>
          <w:tabs>
            <w:tab w:val="num" w:pos="397"/>
          </w:tabs>
          <w:ind w:left="340" w:hanging="340"/>
        </w:pPr>
        <w:rPr>
          <w:rFonts w:ascii="Arial" w:hAnsi="Arial" w:hint="default"/>
          <w:color w:val="auto"/>
        </w:rPr>
      </w:lvl>
    </w:lvlOverride>
  </w:num>
  <w:num w:numId="4" w16cid:durableId="733620452">
    <w:abstractNumId w:val="8"/>
  </w:num>
  <w:num w:numId="5" w16cid:durableId="286741907">
    <w:abstractNumId w:val="12"/>
  </w:num>
  <w:num w:numId="6" w16cid:durableId="835876365">
    <w:abstractNumId w:val="10"/>
  </w:num>
  <w:num w:numId="7" w16cid:durableId="978222952">
    <w:abstractNumId w:val="7"/>
  </w:num>
  <w:num w:numId="8" w16cid:durableId="295063631">
    <w:abstractNumId w:val="6"/>
  </w:num>
  <w:num w:numId="9" w16cid:durableId="491995888">
    <w:abstractNumId w:val="11"/>
  </w:num>
  <w:num w:numId="10" w16cid:durableId="681780061">
    <w:abstractNumId w:val="2"/>
  </w:num>
  <w:num w:numId="11" w16cid:durableId="400057360">
    <w:abstractNumId w:val="8"/>
    <w:lvlOverride w:ilvl="0">
      <w:lvl w:ilvl="0">
        <w:start w:val="1"/>
        <w:numFmt w:val="bullet"/>
        <w:pStyle w:val="Seznamsodrkami"/>
        <w:lvlText w:val="–"/>
        <w:lvlJc w:val="left"/>
        <w:pPr>
          <w:tabs>
            <w:tab w:val="num" w:pos="397"/>
          </w:tabs>
          <w:ind w:left="340" w:hanging="340"/>
        </w:pPr>
        <w:rPr>
          <w:rFonts w:ascii="Arial" w:hAnsi="Arial" w:hint="default"/>
          <w:color w:val="auto"/>
        </w:rPr>
      </w:lvl>
    </w:lvlOverride>
  </w:num>
  <w:num w:numId="12" w16cid:durableId="441613600">
    <w:abstractNumId w:val="8"/>
    <w:lvlOverride w:ilvl="0">
      <w:lvl w:ilvl="0">
        <w:start w:val="1"/>
        <w:numFmt w:val="bullet"/>
        <w:pStyle w:val="Seznamsodrkami"/>
        <w:lvlText w:val="–"/>
        <w:lvlJc w:val="left"/>
        <w:pPr>
          <w:tabs>
            <w:tab w:val="num" w:pos="397"/>
          </w:tabs>
          <w:ind w:left="340" w:hanging="340"/>
        </w:pPr>
        <w:rPr>
          <w:rFonts w:ascii="Arial" w:hAnsi="Arial" w:hint="default"/>
          <w:color w:val="auto"/>
        </w:rPr>
      </w:lvl>
    </w:lvlOverride>
  </w:num>
  <w:num w:numId="13" w16cid:durableId="199823507">
    <w:abstractNumId w:val="16"/>
  </w:num>
  <w:num w:numId="14" w16cid:durableId="2002737703">
    <w:abstractNumId w:val="14"/>
  </w:num>
  <w:num w:numId="15" w16cid:durableId="116996888">
    <w:abstractNumId w:val="1"/>
  </w:num>
  <w:num w:numId="16" w16cid:durableId="760687789">
    <w:abstractNumId w:val="0"/>
  </w:num>
  <w:num w:numId="17" w16cid:durableId="1875846223">
    <w:abstractNumId w:val="13"/>
  </w:num>
  <w:num w:numId="18" w16cid:durableId="1144275367">
    <w:abstractNumId w:val="17"/>
  </w:num>
  <w:num w:numId="19" w16cid:durableId="315382844">
    <w:abstractNumId w:val="15"/>
  </w:num>
  <w:num w:numId="20" w16cid:durableId="1840655348">
    <w:abstractNumId w:val="18"/>
  </w:num>
  <w:num w:numId="21" w16cid:durableId="2001153751">
    <w:abstractNumId w:val="3"/>
  </w:num>
  <w:num w:numId="22" w16cid:durableId="651299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3A5"/>
    <w:rsid w:val="00005512"/>
    <w:rsid w:val="000303D0"/>
    <w:rsid w:val="000327DD"/>
    <w:rsid w:val="00032A76"/>
    <w:rsid w:val="00035925"/>
    <w:rsid w:val="00037E82"/>
    <w:rsid w:val="00054C0A"/>
    <w:rsid w:val="000731E9"/>
    <w:rsid w:val="000761A9"/>
    <w:rsid w:val="000777C3"/>
    <w:rsid w:val="000954C6"/>
    <w:rsid w:val="000A60AF"/>
    <w:rsid w:val="000C26F8"/>
    <w:rsid w:val="000C3E33"/>
    <w:rsid w:val="000C527E"/>
    <w:rsid w:val="000D1AF3"/>
    <w:rsid w:val="000D424E"/>
    <w:rsid w:val="000D79CD"/>
    <w:rsid w:val="000E1D0C"/>
    <w:rsid w:val="000E7634"/>
    <w:rsid w:val="00100E49"/>
    <w:rsid w:val="00120B86"/>
    <w:rsid w:val="00123910"/>
    <w:rsid w:val="00124016"/>
    <w:rsid w:val="001371CE"/>
    <w:rsid w:val="00155F32"/>
    <w:rsid w:val="00156A84"/>
    <w:rsid w:val="0015779E"/>
    <w:rsid w:val="001760ED"/>
    <w:rsid w:val="001822A7"/>
    <w:rsid w:val="00183687"/>
    <w:rsid w:val="00187BA4"/>
    <w:rsid w:val="00192E17"/>
    <w:rsid w:val="001A23D0"/>
    <w:rsid w:val="001A3F69"/>
    <w:rsid w:val="001C5B3B"/>
    <w:rsid w:val="001D0274"/>
    <w:rsid w:val="001D0B6B"/>
    <w:rsid w:val="001D18C4"/>
    <w:rsid w:val="001D3E1D"/>
    <w:rsid w:val="001F2B4E"/>
    <w:rsid w:val="001F2BF7"/>
    <w:rsid w:val="001F39A4"/>
    <w:rsid w:val="002005AB"/>
    <w:rsid w:val="0020586E"/>
    <w:rsid w:val="00210BE8"/>
    <w:rsid w:val="00231049"/>
    <w:rsid w:val="00233E78"/>
    <w:rsid w:val="00247093"/>
    <w:rsid w:val="00256AE0"/>
    <w:rsid w:val="00261B74"/>
    <w:rsid w:val="00265A49"/>
    <w:rsid w:val="0027133B"/>
    <w:rsid w:val="002870AA"/>
    <w:rsid w:val="00293D4B"/>
    <w:rsid w:val="002A3A66"/>
    <w:rsid w:val="002A6A51"/>
    <w:rsid w:val="002B163B"/>
    <w:rsid w:val="002B4C71"/>
    <w:rsid w:val="002B5CBC"/>
    <w:rsid w:val="002E24B0"/>
    <w:rsid w:val="002E7218"/>
    <w:rsid w:val="002F09BC"/>
    <w:rsid w:val="002F2893"/>
    <w:rsid w:val="0030303D"/>
    <w:rsid w:val="0031396F"/>
    <w:rsid w:val="00324B5F"/>
    <w:rsid w:val="00331255"/>
    <w:rsid w:val="0033722A"/>
    <w:rsid w:val="00341A06"/>
    <w:rsid w:val="00347E97"/>
    <w:rsid w:val="00363E8F"/>
    <w:rsid w:val="00367887"/>
    <w:rsid w:val="003745CB"/>
    <w:rsid w:val="003816AE"/>
    <w:rsid w:val="0038320A"/>
    <w:rsid w:val="00386B5F"/>
    <w:rsid w:val="00393C4A"/>
    <w:rsid w:val="003A3D02"/>
    <w:rsid w:val="003A459B"/>
    <w:rsid w:val="003B3FEA"/>
    <w:rsid w:val="003C4715"/>
    <w:rsid w:val="003C56F8"/>
    <w:rsid w:val="003D7111"/>
    <w:rsid w:val="003D76DD"/>
    <w:rsid w:val="003F36B9"/>
    <w:rsid w:val="004015B9"/>
    <w:rsid w:val="00401799"/>
    <w:rsid w:val="00410E14"/>
    <w:rsid w:val="00415907"/>
    <w:rsid w:val="004320FE"/>
    <w:rsid w:val="004413BF"/>
    <w:rsid w:val="00445066"/>
    <w:rsid w:val="00460F6E"/>
    <w:rsid w:val="00461C33"/>
    <w:rsid w:val="00467BDE"/>
    <w:rsid w:val="00472EBF"/>
    <w:rsid w:val="004746A2"/>
    <w:rsid w:val="00487A0A"/>
    <w:rsid w:val="00493204"/>
    <w:rsid w:val="004A36A6"/>
    <w:rsid w:val="004B28E8"/>
    <w:rsid w:val="004B298F"/>
    <w:rsid w:val="004B2A31"/>
    <w:rsid w:val="004C086F"/>
    <w:rsid w:val="004C6936"/>
    <w:rsid w:val="004D2DC3"/>
    <w:rsid w:val="004D4FB2"/>
    <w:rsid w:val="004F6D54"/>
    <w:rsid w:val="004F78E7"/>
    <w:rsid w:val="00501BF2"/>
    <w:rsid w:val="00502054"/>
    <w:rsid w:val="00503144"/>
    <w:rsid w:val="00504C0D"/>
    <w:rsid w:val="00507A96"/>
    <w:rsid w:val="0051000F"/>
    <w:rsid w:val="00512240"/>
    <w:rsid w:val="005253A4"/>
    <w:rsid w:val="005269F3"/>
    <w:rsid w:val="00532C67"/>
    <w:rsid w:val="0054271D"/>
    <w:rsid w:val="00550A9F"/>
    <w:rsid w:val="00556071"/>
    <w:rsid w:val="00557955"/>
    <w:rsid w:val="005612BB"/>
    <w:rsid w:val="0059431A"/>
    <w:rsid w:val="005966B0"/>
    <w:rsid w:val="00597AA0"/>
    <w:rsid w:val="005A1B1C"/>
    <w:rsid w:val="005B2A87"/>
    <w:rsid w:val="005B5136"/>
    <w:rsid w:val="005B641D"/>
    <w:rsid w:val="005C7B78"/>
    <w:rsid w:val="005D7FC8"/>
    <w:rsid w:val="005E3F3C"/>
    <w:rsid w:val="005F2582"/>
    <w:rsid w:val="00605A51"/>
    <w:rsid w:val="00613142"/>
    <w:rsid w:val="00621A68"/>
    <w:rsid w:val="00633441"/>
    <w:rsid w:val="00636FE2"/>
    <w:rsid w:val="00641CE2"/>
    <w:rsid w:val="00654789"/>
    <w:rsid w:val="006549CF"/>
    <w:rsid w:val="006648FF"/>
    <w:rsid w:val="006737EA"/>
    <w:rsid w:val="0067718F"/>
    <w:rsid w:val="0067798D"/>
    <w:rsid w:val="00680F35"/>
    <w:rsid w:val="00695252"/>
    <w:rsid w:val="0069707C"/>
    <w:rsid w:val="006A03D0"/>
    <w:rsid w:val="006C475A"/>
    <w:rsid w:val="006D4E02"/>
    <w:rsid w:val="006E6197"/>
    <w:rsid w:val="006F3A4D"/>
    <w:rsid w:val="006F4EE1"/>
    <w:rsid w:val="006F77E8"/>
    <w:rsid w:val="0070422A"/>
    <w:rsid w:val="00706B93"/>
    <w:rsid w:val="00720DFA"/>
    <w:rsid w:val="00724ECC"/>
    <w:rsid w:val="007277A2"/>
    <w:rsid w:val="00731241"/>
    <w:rsid w:val="00741B04"/>
    <w:rsid w:val="00742030"/>
    <w:rsid w:val="00744D0F"/>
    <w:rsid w:val="00744FA3"/>
    <w:rsid w:val="00746B73"/>
    <w:rsid w:val="007506C6"/>
    <w:rsid w:val="007561C2"/>
    <w:rsid w:val="007737BF"/>
    <w:rsid w:val="00773ABF"/>
    <w:rsid w:val="00780B69"/>
    <w:rsid w:val="00783342"/>
    <w:rsid w:val="007A0EA8"/>
    <w:rsid w:val="007A2981"/>
    <w:rsid w:val="007C07E5"/>
    <w:rsid w:val="007C540F"/>
    <w:rsid w:val="007C57FD"/>
    <w:rsid w:val="007D4016"/>
    <w:rsid w:val="007D67D6"/>
    <w:rsid w:val="007E10CD"/>
    <w:rsid w:val="007F20EF"/>
    <w:rsid w:val="007F3D19"/>
    <w:rsid w:val="00804375"/>
    <w:rsid w:val="00814468"/>
    <w:rsid w:val="0082298B"/>
    <w:rsid w:val="0083556D"/>
    <w:rsid w:val="00835E5E"/>
    <w:rsid w:val="008537B2"/>
    <w:rsid w:val="00877077"/>
    <w:rsid w:val="00881C2B"/>
    <w:rsid w:val="008838E8"/>
    <w:rsid w:val="00896E17"/>
    <w:rsid w:val="008A319C"/>
    <w:rsid w:val="008D1AF7"/>
    <w:rsid w:val="008E20A4"/>
    <w:rsid w:val="008E3810"/>
    <w:rsid w:val="00907789"/>
    <w:rsid w:val="00936554"/>
    <w:rsid w:val="00937B87"/>
    <w:rsid w:val="0096466D"/>
    <w:rsid w:val="00964FF5"/>
    <w:rsid w:val="009663A5"/>
    <w:rsid w:val="00966B67"/>
    <w:rsid w:val="00971D45"/>
    <w:rsid w:val="0097343C"/>
    <w:rsid w:val="00977448"/>
    <w:rsid w:val="00990761"/>
    <w:rsid w:val="009924BF"/>
    <w:rsid w:val="009958C5"/>
    <w:rsid w:val="0099692C"/>
    <w:rsid w:val="00997E87"/>
    <w:rsid w:val="009A08B9"/>
    <w:rsid w:val="009B38B5"/>
    <w:rsid w:val="009C01F1"/>
    <w:rsid w:val="009C3566"/>
    <w:rsid w:val="009E00BB"/>
    <w:rsid w:val="009E47C4"/>
    <w:rsid w:val="009E5A01"/>
    <w:rsid w:val="009E5B7F"/>
    <w:rsid w:val="009E5E56"/>
    <w:rsid w:val="009E714F"/>
    <w:rsid w:val="009F68B0"/>
    <w:rsid w:val="00A01591"/>
    <w:rsid w:val="00A0768F"/>
    <w:rsid w:val="00A07EE5"/>
    <w:rsid w:val="00A22A8E"/>
    <w:rsid w:val="00A34BE3"/>
    <w:rsid w:val="00A36071"/>
    <w:rsid w:val="00A401EE"/>
    <w:rsid w:val="00A456DA"/>
    <w:rsid w:val="00A52796"/>
    <w:rsid w:val="00A53A0A"/>
    <w:rsid w:val="00A53CA0"/>
    <w:rsid w:val="00A564DA"/>
    <w:rsid w:val="00A57070"/>
    <w:rsid w:val="00A805BE"/>
    <w:rsid w:val="00A85AB0"/>
    <w:rsid w:val="00A861D9"/>
    <w:rsid w:val="00A90FF6"/>
    <w:rsid w:val="00A927B6"/>
    <w:rsid w:val="00AA0C93"/>
    <w:rsid w:val="00AB139A"/>
    <w:rsid w:val="00AB3BB5"/>
    <w:rsid w:val="00AB762F"/>
    <w:rsid w:val="00AC722B"/>
    <w:rsid w:val="00AD0907"/>
    <w:rsid w:val="00AD176D"/>
    <w:rsid w:val="00AD22F2"/>
    <w:rsid w:val="00AE5B6F"/>
    <w:rsid w:val="00AE7456"/>
    <w:rsid w:val="00AF071C"/>
    <w:rsid w:val="00AF0725"/>
    <w:rsid w:val="00B06352"/>
    <w:rsid w:val="00B21414"/>
    <w:rsid w:val="00B2261A"/>
    <w:rsid w:val="00B30DC3"/>
    <w:rsid w:val="00B34F2E"/>
    <w:rsid w:val="00B36D0C"/>
    <w:rsid w:val="00B468C2"/>
    <w:rsid w:val="00B47A77"/>
    <w:rsid w:val="00B60F2C"/>
    <w:rsid w:val="00B61C3A"/>
    <w:rsid w:val="00B70DEF"/>
    <w:rsid w:val="00B72CEC"/>
    <w:rsid w:val="00B74065"/>
    <w:rsid w:val="00B75B19"/>
    <w:rsid w:val="00B7602A"/>
    <w:rsid w:val="00BA7263"/>
    <w:rsid w:val="00BA7BDA"/>
    <w:rsid w:val="00BB1D08"/>
    <w:rsid w:val="00BB2987"/>
    <w:rsid w:val="00BB5407"/>
    <w:rsid w:val="00BC05C3"/>
    <w:rsid w:val="00BE6B34"/>
    <w:rsid w:val="00BF105C"/>
    <w:rsid w:val="00BF2550"/>
    <w:rsid w:val="00C006BE"/>
    <w:rsid w:val="00C00882"/>
    <w:rsid w:val="00C03B71"/>
    <w:rsid w:val="00C116C2"/>
    <w:rsid w:val="00C17E34"/>
    <w:rsid w:val="00C2002C"/>
    <w:rsid w:val="00C34486"/>
    <w:rsid w:val="00C36F0B"/>
    <w:rsid w:val="00C65BB1"/>
    <w:rsid w:val="00C73C92"/>
    <w:rsid w:val="00C803E2"/>
    <w:rsid w:val="00C819E6"/>
    <w:rsid w:val="00C82018"/>
    <w:rsid w:val="00CA35A5"/>
    <w:rsid w:val="00CA5DF8"/>
    <w:rsid w:val="00CD72C2"/>
    <w:rsid w:val="00CF3268"/>
    <w:rsid w:val="00D14017"/>
    <w:rsid w:val="00D24503"/>
    <w:rsid w:val="00D27BF1"/>
    <w:rsid w:val="00D348BE"/>
    <w:rsid w:val="00D37A9A"/>
    <w:rsid w:val="00D50C48"/>
    <w:rsid w:val="00D55755"/>
    <w:rsid w:val="00D62E09"/>
    <w:rsid w:val="00D6547E"/>
    <w:rsid w:val="00D72663"/>
    <w:rsid w:val="00D74EC0"/>
    <w:rsid w:val="00D77AD4"/>
    <w:rsid w:val="00D86220"/>
    <w:rsid w:val="00D91878"/>
    <w:rsid w:val="00D9759B"/>
    <w:rsid w:val="00D97634"/>
    <w:rsid w:val="00DA4B26"/>
    <w:rsid w:val="00DC1E41"/>
    <w:rsid w:val="00DC1FF5"/>
    <w:rsid w:val="00DC41F4"/>
    <w:rsid w:val="00DC4415"/>
    <w:rsid w:val="00DC4BA7"/>
    <w:rsid w:val="00DC642F"/>
    <w:rsid w:val="00DC6958"/>
    <w:rsid w:val="00DD61B0"/>
    <w:rsid w:val="00DE3431"/>
    <w:rsid w:val="00DF1D94"/>
    <w:rsid w:val="00E06296"/>
    <w:rsid w:val="00E10029"/>
    <w:rsid w:val="00E15E6A"/>
    <w:rsid w:val="00E165DB"/>
    <w:rsid w:val="00E17191"/>
    <w:rsid w:val="00E303E9"/>
    <w:rsid w:val="00E32C81"/>
    <w:rsid w:val="00E41228"/>
    <w:rsid w:val="00E43FA9"/>
    <w:rsid w:val="00E52A1A"/>
    <w:rsid w:val="00E60743"/>
    <w:rsid w:val="00E60D49"/>
    <w:rsid w:val="00E70EA8"/>
    <w:rsid w:val="00E714CB"/>
    <w:rsid w:val="00E739B5"/>
    <w:rsid w:val="00E80426"/>
    <w:rsid w:val="00E8222C"/>
    <w:rsid w:val="00E85020"/>
    <w:rsid w:val="00E9050A"/>
    <w:rsid w:val="00EA2504"/>
    <w:rsid w:val="00EB16B5"/>
    <w:rsid w:val="00EB505F"/>
    <w:rsid w:val="00EC4169"/>
    <w:rsid w:val="00ED27BD"/>
    <w:rsid w:val="00ED73C5"/>
    <w:rsid w:val="00ED766D"/>
    <w:rsid w:val="00EE63E6"/>
    <w:rsid w:val="00EE7082"/>
    <w:rsid w:val="00EF08E4"/>
    <w:rsid w:val="00EF1557"/>
    <w:rsid w:val="00F0234E"/>
    <w:rsid w:val="00F043C5"/>
    <w:rsid w:val="00F10C47"/>
    <w:rsid w:val="00F149DE"/>
    <w:rsid w:val="00F173B4"/>
    <w:rsid w:val="00F231B7"/>
    <w:rsid w:val="00F47697"/>
    <w:rsid w:val="00F54A00"/>
    <w:rsid w:val="00F80232"/>
    <w:rsid w:val="00F810AC"/>
    <w:rsid w:val="00F866F6"/>
    <w:rsid w:val="00F92479"/>
    <w:rsid w:val="00F974E5"/>
    <w:rsid w:val="00FA10FD"/>
    <w:rsid w:val="00FA49F0"/>
    <w:rsid w:val="00FB1940"/>
    <w:rsid w:val="00FB3C7C"/>
    <w:rsid w:val="00FB7628"/>
    <w:rsid w:val="00FC0401"/>
    <w:rsid w:val="00FC2B45"/>
    <w:rsid w:val="00FC3793"/>
    <w:rsid w:val="00FC44DA"/>
    <w:rsid w:val="00FD53A5"/>
    <w:rsid w:val="00FE098D"/>
    <w:rsid w:val="00FE5D1B"/>
    <w:rsid w:val="00FE7CB7"/>
    <w:rsid w:val="00FF086D"/>
    <w:rsid w:val="00FF47A4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378D"/>
  <w15:docId w15:val="{CE73A575-5A27-E84F-BE92-4EBE1CDC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C006BE"/>
    <w:pPr>
      <w:keepNext/>
      <w:keepLines/>
      <w:numPr>
        <w:numId w:val="17"/>
      </w:numPr>
      <w:spacing w:before="480"/>
      <w:ind w:left="567" w:hanging="567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nhideWhenUsed/>
    <w:qFormat/>
    <w:rsid w:val="00037E82"/>
    <w:pPr>
      <w:keepNext/>
      <w:keepLines/>
      <w:numPr>
        <w:ilvl w:val="1"/>
        <w:numId w:val="17"/>
      </w:numPr>
      <w:spacing w:before="360" w:after="80"/>
      <w:ind w:left="794" w:hanging="794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rsid w:val="0059431A"/>
    <w:pPr>
      <w:keepNext/>
      <w:keepLines/>
      <w:spacing w:before="200" w:after="8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Nadpis8">
    <w:name w:val="heading 8"/>
    <w:basedOn w:val="Normln"/>
    <w:next w:val="Normln"/>
    <w:link w:val="Nadpis8Char"/>
    <w:semiHidden/>
    <w:unhideWhenUsed/>
    <w:rsid w:val="0059431A"/>
    <w:pPr>
      <w:keepNext/>
      <w:keepLines/>
      <w:spacing w:before="200" w:after="8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paragraph" w:styleId="Nadpis9">
    <w:name w:val="heading 9"/>
    <w:basedOn w:val="Normln"/>
    <w:next w:val="Normln"/>
    <w:link w:val="Nadpis9Char"/>
    <w:semiHidden/>
    <w:unhideWhenUsed/>
    <w:rsid w:val="0059431A"/>
    <w:pPr>
      <w:keepNext/>
      <w:keepLines/>
      <w:spacing w:before="200" w:after="8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B72C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7456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AE7456"/>
  </w:style>
  <w:style w:type="paragraph" w:styleId="Zpat">
    <w:name w:val="footer"/>
    <w:basedOn w:val="Normln"/>
    <w:link w:val="ZpatChar"/>
    <w:uiPriority w:val="99"/>
    <w:unhideWhenUsed/>
    <w:rsid w:val="00AE7456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AE7456"/>
  </w:style>
  <w:style w:type="paragraph" w:styleId="Seznamsodrkami">
    <w:name w:val="List Bullet"/>
    <w:basedOn w:val="Normln"/>
    <w:uiPriority w:val="99"/>
    <w:qFormat/>
    <w:rsid w:val="00F80232"/>
    <w:pPr>
      <w:numPr>
        <w:numId w:val="3"/>
      </w:numPr>
      <w:spacing w:before="0" w:after="0" w:line="280" w:lineRule="atLeast"/>
    </w:pPr>
    <w:rPr>
      <w:rFonts w:eastAsia="Adobe Fangsong Std R" w:cs="Times New Roman"/>
      <w:sz w:val="20"/>
      <w:szCs w:val="24"/>
      <w:lang w:val="sk-SK"/>
    </w:rPr>
  </w:style>
  <w:style w:type="numbering" w:customStyle="1" w:styleId="Styl2">
    <w:name w:val="Styl2"/>
    <w:uiPriority w:val="99"/>
    <w:rsid w:val="00F80232"/>
    <w:pPr>
      <w:numPr>
        <w:numId w:val="4"/>
      </w:numPr>
    </w:pPr>
  </w:style>
  <w:style w:type="paragraph" w:styleId="Seznamsodrkami2">
    <w:name w:val="List Bullet 2"/>
    <w:basedOn w:val="Normln"/>
    <w:uiPriority w:val="99"/>
    <w:rsid w:val="00F80232"/>
    <w:pPr>
      <w:numPr>
        <w:ilvl w:val="1"/>
        <w:numId w:val="3"/>
      </w:numPr>
      <w:spacing w:before="0" w:after="0" w:line="280" w:lineRule="atLeast"/>
      <w:contextualSpacing/>
    </w:pPr>
    <w:rPr>
      <w:rFonts w:eastAsia="Adobe Fangsong Std R" w:cs="Times New Roman"/>
      <w:sz w:val="20"/>
      <w:szCs w:val="24"/>
      <w:lang w:val="sk-SK"/>
    </w:rPr>
  </w:style>
  <w:style w:type="paragraph" w:styleId="Seznamsodrkami3">
    <w:name w:val="List Bullet 3"/>
    <w:basedOn w:val="Normln"/>
    <w:uiPriority w:val="99"/>
    <w:rsid w:val="00F80232"/>
    <w:pPr>
      <w:numPr>
        <w:ilvl w:val="2"/>
        <w:numId w:val="3"/>
      </w:numPr>
      <w:spacing w:before="0" w:after="0" w:line="280" w:lineRule="atLeast"/>
      <w:contextualSpacing/>
    </w:pPr>
    <w:rPr>
      <w:rFonts w:eastAsia="Adobe Fangsong Std R" w:cs="Times New Roman"/>
      <w:sz w:val="20"/>
      <w:szCs w:val="24"/>
      <w:lang w:val="sk-SK"/>
    </w:rPr>
  </w:style>
  <w:style w:type="paragraph" w:styleId="Seznamsodrkami4">
    <w:name w:val="List Bullet 4"/>
    <w:basedOn w:val="Normln"/>
    <w:uiPriority w:val="99"/>
    <w:semiHidden/>
    <w:unhideWhenUsed/>
    <w:rsid w:val="00F80232"/>
    <w:pPr>
      <w:numPr>
        <w:ilvl w:val="3"/>
        <w:numId w:val="3"/>
      </w:numPr>
      <w:tabs>
        <w:tab w:val="clear" w:pos="3119"/>
        <w:tab w:val="num" w:pos="360"/>
      </w:tabs>
      <w:spacing w:before="0" w:after="0" w:line="280" w:lineRule="atLeast"/>
      <w:ind w:left="0" w:firstLine="0"/>
      <w:contextualSpacing/>
    </w:pPr>
    <w:rPr>
      <w:rFonts w:eastAsia="Adobe Fangsong Std R" w:cs="Times New Roman"/>
      <w:sz w:val="20"/>
      <w:szCs w:val="24"/>
      <w:lang w:val="sk-SK"/>
    </w:rPr>
  </w:style>
  <w:style w:type="paragraph" w:styleId="Seznamsodrkami5">
    <w:name w:val="List Bullet 5"/>
    <w:basedOn w:val="Normln"/>
    <w:uiPriority w:val="99"/>
    <w:semiHidden/>
    <w:unhideWhenUsed/>
    <w:rsid w:val="00F80232"/>
    <w:pPr>
      <w:numPr>
        <w:ilvl w:val="4"/>
        <w:numId w:val="3"/>
      </w:numPr>
      <w:tabs>
        <w:tab w:val="num" w:pos="360"/>
      </w:tabs>
      <w:spacing w:before="0" w:after="0" w:line="280" w:lineRule="atLeast"/>
      <w:ind w:left="0" w:firstLine="0"/>
      <w:contextualSpacing/>
    </w:pPr>
    <w:rPr>
      <w:rFonts w:eastAsia="Adobe Fangsong Std R" w:cs="Times New Roman"/>
      <w:sz w:val="20"/>
      <w:szCs w:val="24"/>
      <w:lang w:val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FF78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78F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78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78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78FE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E171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67798D"/>
    <w:rPr>
      <w:rFonts w:asciiTheme="minorHAnsi" w:hAnsiTheme="minorHAnsi"/>
      <w:b/>
    </w:rPr>
  </w:style>
  <w:style w:type="table" w:customStyle="1" w:styleId="Tabulkabn">
    <w:name w:val="Tabulka běžná"/>
    <w:basedOn w:val="Normlntabulka"/>
    <w:uiPriority w:val="99"/>
    <w:qFormat/>
    <w:rsid w:val="0067798D"/>
    <w:pPr>
      <w:spacing w:before="0" w:after="0"/>
    </w:pPr>
    <w:rPr>
      <w:rFonts w:eastAsiaTheme="minorHAnsi" w:cs="Times New Roman"/>
      <w:sz w:val="16"/>
      <w:szCs w:val="20"/>
      <w:lang w:eastAsia="en-US"/>
    </w:rPr>
    <w:tblPr>
      <w:tblBorders>
        <w:bottom w:val="single" w:sz="2" w:space="0" w:color="auto"/>
        <w:insideH w:val="single" w:sz="2" w:space="0" w:color="auto"/>
        <w:insideV w:val="single" w:sz="2" w:space="0" w:color="auto"/>
      </w:tblBorders>
    </w:tblPr>
    <w:tcPr>
      <w:tcMar>
        <w:top w:w="28" w:type="dxa"/>
        <w:bottom w:w="28" w:type="dxa"/>
      </w:tcMar>
    </w:tcPr>
    <w:tblStylePr w:type="firstRow">
      <w:pPr>
        <w:wordWrap/>
        <w:spacing w:beforeLines="0" w:beforeAutospacing="0" w:afterLines="0" w:afterAutospacing="0" w:line="160" w:lineRule="atLeast"/>
        <w:ind w:leftChars="0" w:left="0" w:rightChars="0" w:right="0" w:firstLineChars="0" w:firstLine="0"/>
      </w:pPr>
      <w:rPr>
        <w:rFonts w:ascii="Arial" w:hAnsi="Arial"/>
        <w:caps/>
        <w:smallCaps w:val="0"/>
        <w:sz w:val="1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  <w:style w:type="character" w:customStyle="1" w:styleId="Tabulka-zvraznn">
    <w:name w:val="Tabulka - zvýraznění"/>
    <w:basedOn w:val="Standardnpsmoodstavce"/>
    <w:uiPriority w:val="1"/>
    <w:qFormat/>
    <w:rsid w:val="0067798D"/>
    <w:rPr>
      <w:rFonts w:ascii="Arial Black" w:hAnsi="Arial Black"/>
      <w:sz w:val="14"/>
    </w:rPr>
  </w:style>
  <w:style w:type="paragraph" w:styleId="slovanseznam">
    <w:name w:val="List Number"/>
    <w:basedOn w:val="Normln"/>
    <w:uiPriority w:val="99"/>
    <w:qFormat/>
    <w:rsid w:val="0067798D"/>
    <w:pPr>
      <w:numPr>
        <w:numId w:val="15"/>
      </w:numPr>
      <w:spacing w:before="0" w:after="0" w:line="280" w:lineRule="atLeast"/>
      <w:contextualSpacing/>
    </w:pPr>
    <w:rPr>
      <w:rFonts w:eastAsia="Adobe Fangsong Std R" w:cs="Times New Roman"/>
      <w:sz w:val="20"/>
      <w:szCs w:val="24"/>
      <w:lang w:val="sk-SK"/>
    </w:rPr>
  </w:style>
  <w:style w:type="numbering" w:customStyle="1" w:styleId="slovanseznamPENTA">
    <w:name w:val="Číslovaný seznam PENTA"/>
    <w:uiPriority w:val="99"/>
    <w:rsid w:val="0067798D"/>
    <w:pPr>
      <w:numPr>
        <w:numId w:val="14"/>
      </w:numPr>
    </w:pPr>
  </w:style>
  <w:style w:type="paragraph" w:styleId="slovanseznam2">
    <w:name w:val="List Number 2"/>
    <w:basedOn w:val="Normln"/>
    <w:uiPriority w:val="99"/>
    <w:unhideWhenUsed/>
    <w:rsid w:val="0067798D"/>
    <w:pPr>
      <w:numPr>
        <w:ilvl w:val="1"/>
        <w:numId w:val="15"/>
      </w:numPr>
      <w:spacing w:before="0" w:after="0" w:line="280" w:lineRule="atLeast"/>
      <w:contextualSpacing/>
    </w:pPr>
    <w:rPr>
      <w:rFonts w:eastAsia="Adobe Fangsong Std R" w:cs="Times New Roman"/>
      <w:sz w:val="20"/>
      <w:szCs w:val="24"/>
      <w:lang w:val="sk-SK"/>
    </w:rPr>
  </w:style>
  <w:style w:type="paragraph" w:styleId="slovanseznam3">
    <w:name w:val="List Number 3"/>
    <w:basedOn w:val="Normln"/>
    <w:uiPriority w:val="99"/>
    <w:unhideWhenUsed/>
    <w:rsid w:val="0067798D"/>
    <w:pPr>
      <w:numPr>
        <w:ilvl w:val="2"/>
        <w:numId w:val="15"/>
      </w:numPr>
      <w:spacing w:before="0" w:after="0" w:line="280" w:lineRule="atLeast"/>
      <w:contextualSpacing/>
    </w:pPr>
    <w:rPr>
      <w:rFonts w:eastAsia="Adobe Fangsong Std R" w:cs="Times New Roman"/>
      <w:sz w:val="20"/>
      <w:szCs w:val="24"/>
      <w:lang w:val="sk-SK"/>
    </w:rPr>
  </w:style>
  <w:style w:type="paragraph" w:styleId="slovanseznam4">
    <w:name w:val="List Number 4"/>
    <w:basedOn w:val="Normln"/>
    <w:uiPriority w:val="99"/>
    <w:semiHidden/>
    <w:unhideWhenUsed/>
    <w:rsid w:val="0067798D"/>
    <w:pPr>
      <w:numPr>
        <w:ilvl w:val="3"/>
        <w:numId w:val="15"/>
      </w:numPr>
      <w:spacing w:before="0" w:after="0" w:line="280" w:lineRule="atLeast"/>
      <w:contextualSpacing/>
    </w:pPr>
    <w:rPr>
      <w:rFonts w:eastAsia="Adobe Fangsong Std R" w:cs="Times New Roman"/>
      <w:sz w:val="20"/>
      <w:szCs w:val="24"/>
      <w:lang w:val="sk-SK"/>
    </w:rPr>
  </w:style>
  <w:style w:type="paragraph" w:styleId="slovanseznam5">
    <w:name w:val="List Number 5"/>
    <w:basedOn w:val="Normln"/>
    <w:uiPriority w:val="99"/>
    <w:semiHidden/>
    <w:unhideWhenUsed/>
    <w:rsid w:val="0067798D"/>
    <w:pPr>
      <w:numPr>
        <w:ilvl w:val="4"/>
        <w:numId w:val="15"/>
      </w:numPr>
      <w:spacing w:before="0" w:after="0" w:line="280" w:lineRule="atLeast"/>
      <w:contextualSpacing/>
    </w:pPr>
    <w:rPr>
      <w:rFonts w:eastAsia="Adobe Fangsong Std R" w:cs="Times New Roman"/>
      <w:sz w:val="20"/>
      <w:szCs w:val="24"/>
      <w:lang w:val="sk-SK"/>
    </w:rPr>
  </w:style>
  <w:style w:type="paragraph" w:customStyle="1" w:styleId="Perexvelk">
    <w:name w:val="Perex velký"/>
    <w:basedOn w:val="Normln"/>
    <w:qFormat/>
    <w:rsid w:val="0067798D"/>
    <w:pPr>
      <w:spacing w:before="480" w:after="240" w:line="320" w:lineRule="atLeast"/>
    </w:pPr>
    <w:rPr>
      <w:rFonts w:eastAsia="Adobe Fangsong Std R" w:cs="Times New Roman"/>
      <w:color w:val="808080" w:themeColor="background1" w:themeShade="80"/>
      <w:sz w:val="24"/>
      <w:szCs w:val="24"/>
      <w:lang w:val="sk-SK"/>
    </w:rPr>
  </w:style>
  <w:style w:type="paragraph" w:styleId="Nadpisobsahu">
    <w:name w:val="TOC Heading"/>
    <w:basedOn w:val="Nadpis1"/>
    <w:next w:val="Normln"/>
    <w:uiPriority w:val="39"/>
    <w:unhideWhenUsed/>
    <w:qFormat/>
    <w:rsid w:val="00835E5E"/>
    <w:pPr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835E5E"/>
    <w:rPr>
      <w:rFonts w:asciiTheme="minorHAnsi" w:hAnsi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835E5E"/>
    <w:pPr>
      <w:spacing w:before="0" w:after="0"/>
      <w:ind w:left="220"/>
    </w:pPr>
    <w:rPr>
      <w:rFonts w:asciiTheme="minorHAnsi" w:hAnsi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835E5E"/>
    <w:pPr>
      <w:spacing w:before="0" w:after="0"/>
      <w:ind w:left="440"/>
    </w:pPr>
    <w:rPr>
      <w:rFonts w:asciiTheme="minorHAnsi" w:hAnsiTheme="minorHAnsi"/>
      <w:i/>
      <w:i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35E5E"/>
    <w:rPr>
      <w:color w:val="0000FF" w:themeColor="hyperlink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835E5E"/>
    <w:pPr>
      <w:spacing w:before="0" w:after="0"/>
      <w:ind w:left="66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835E5E"/>
    <w:pPr>
      <w:spacing w:before="0" w:after="0"/>
      <w:ind w:left="88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835E5E"/>
    <w:pPr>
      <w:spacing w:before="0" w:after="0"/>
      <w:ind w:left="11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835E5E"/>
    <w:pPr>
      <w:spacing w:before="0" w:after="0"/>
      <w:ind w:left="132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835E5E"/>
    <w:pPr>
      <w:spacing w:before="0" w:after="0"/>
      <w:ind w:left="154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835E5E"/>
    <w:pPr>
      <w:spacing w:before="0" w:after="0"/>
      <w:ind w:left="1760"/>
    </w:pPr>
    <w:rPr>
      <w:rFonts w:asciiTheme="minorHAnsi" w:hAnsiTheme="minorHAnsi"/>
      <w:sz w:val="18"/>
      <w:szCs w:val="18"/>
    </w:rPr>
  </w:style>
  <w:style w:type="character" w:customStyle="1" w:styleId="Nadpis7Char">
    <w:name w:val="Nadpis 7 Char"/>
    <w:basedOn w:val="Standardnpsmoodstavce"/>
    <w:link w:val="Nadpis7"/>
    <w:semiHidden/>
    <w:rsid w:val="0059431A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character" w:customStyle="1" w:styleId="Nadpis8Char">
    <w:name w:val="Nadpis 8 Char"/>
    <w:basedOn w:val="Standardnpsmoodstavce"/>
    <w:link w:val="Nadpis8"/>
    <w:semiHidden/>
    <w:rsid w:val="005943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Nadpis9Char">
    <w:name w:val="Nadpis 9 Char"/>
    <w:basedOn w:val="Standardnpsmoodstavce"/>
    <w:link w:val="Nadpis9"/>
    <w:semiHidden/>
    <w:rsid w:val="005943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customStyle="1" w:styleId="bulletlist">
    <w:name w:val="bullet list"/>
    <w:basedOn w:val="Normln"/>
    <w:qFormat/>
    <w:rsid w:val="0059431A"/>
    <w:pPr>
      <w:numPr>
        <w:numId w:val="18"/>
      </w:numPr>
      <w:spacing w:before="60" w:after="60"/>
    </w:pPr>
    <w:rPr>
      <w:rFonts w:ascii="Fenomen Sans" w:eastAsia="Times New Roman" w:hAnsi="Fenomen Sans" w:cs="Times New Roman"/>
      <w:szCs w:val="24"/>
      <w:lang w:eastAsia="zh-CN"/>
    </w:rPr>
  </w:style>
  <w:style w:type="paragraph" w:styleId="Revize">
    <w:name w:val="Revision"/>
    <w:hidden/>
    <w:uiPriority w:val="99"/>
    <w:semiHidden/>
    <w:rsid w:val="00557955"/>
    <w:pPr>
      <w:spacing w:before="0" w:after="0"/>
    </w:pPr>
  </w:style>
  <w:style w:type="paragraph" w:styleId="Bezmezer">
    <w:name w:val="No Spacing"/>
    <w:uiPriority w:val="1"/>
    <w:qFormat/>
    <w:rsid w:val="00CA5DF8"/>
    <w:pPr>
      <w:spacing w:before="0" w:after="0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90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21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C86DF4-7122-EF44-A9BE-183A71BC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14</Pages>
  <Words>3353</Words>
  <Characters>19783</Characters>
  <Application>Microsoft Office Word</Application>
  <DocSecurity>0</DocSecurity>
  <Lines>164</Lines>
  <Paragraphs>46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Dorotea Cimburová</dc:creator>
  <cp:lastModifiedBy>Karolína Koupalová</cp:lastModifiedBy>
  <cp:revision>12</cp:revision>
  <cp:lastPrinted>2022-06-09T15:39:00Z</cp:lastPrinted>
  <dcterms:created xsi:type="dcterms:W3CDTF">2022-06-09T11:55:00Z</dcterms:created>
  <dcterms:modified xsi:type="dcterms:W3CDTF">2022-06-09T16:00:00Z</dcterms:modified>
</cp:coreProperties>
</file>